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黑体" w:eastAsia="黑体"/>
          <w:bCs/>
          <w:kern w:val="0"/>
          <w:sz w:val="44"/>
          <w:szCs w:val="44"/>
        </w:rPr>
        <w:t>浙江省本科院校优势</w:t>
      </w:r>
      <w:r>
        <w:rPr>
          <w:rFonts w:hint="eastAsia" w:ascii="Times New Roman" w:hAnsi="黑体" w:eastAsia="黑体"/>
          <w:bCs/>
          <w:kern w:val="0"/>
          <w:sz w:val="44"/>
          <w:szCs w:val="44"/>
        </w:rPr>
        <w:t>特色</w:t>
      </w:r>
      <w:r>
        <w:rPr>
          <w:rFonts w:ascii="Times New Roman" w:hAnsi="黑体" w:eastAsia="黑体"/>
          <w:bCs/>
          <w:kern w:val="0"/>
          <w:sz w:val="44"/>
          <w:szCs w:val="44"/>
        </w:rPr>
        <w:t>专业建设项目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/>
          <w:bCs/>
          <w:kern w:val="0"/>
          <w:sz w:val="60"/>
          <w:szCs w:val="60"/>
        </w:rPr>
      </w:pPr>
      <w:r>
        <w:rPr>
          <w:rFonts w:ascii="Times New Roman" w:hAnsi="Times New Roman" w:eastAsia="黑体"/>
          <w:b/>
          <w:bCs/>
          <w:kern w:val="0"/>
          <w:sz w:val="60"/>
          <w:szCs w:val="60"/>
        </w:rPr>
        <w:t>专业建设状态数据表</w:t>
      </w:r>
      <w:bookmarkEnd w:id="0"/>
    </w:p>
    <w:p>
      <w:pPr>
        <w:widowControl/>
        <w:snapToGrid w:val="0"/>
        <w:spacing w:before="156" w:beforeLines="50" w:after="156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312" w:lineRule="auto"/>
        <w:ind w:firstLine="1560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312" w:lineRule="auto"/>
        <w:ind w:firstLine="1665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学校名称：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56" w:beforeLines="50" w:after="156" w:afterLines="50" w:line="312" w:lineRule="auto"/>
        <w:ind w:firstLine="1665" w:firstLineChars="555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宋体"/>
          <w:kern w:val="0"/>
          <w:sz w:val="30"/>
          <w:szCs w:val="30"/>
        </w:rPr>
        <w:t>专业名称：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56" w:beforeLines="50" w:after="156" w:afterLines="50" w:line="312" w:lineRule="auto"/>
        <w:ind w:firstLine="1665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专业代码：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56" w:beforeLines="50" w:after="156" w:afterLines="50" w:line="312" w:lineRule="auto"/>
        <w:ind w:firstLine="1665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专业负责人：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napToGrid w:val="0"/>
        <w:spacing w:before="156" w:beforeLines="50" w:after="156" w:afterLines="50" w:line="312" w:lineRule="auto"/>
        <w:ind w:firstLine="1665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56" w:beforeLines="50" w:after="156" w:afterLines="50" w:line="312" w:lineRule="auto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hint="eastAsia"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hint="eastAsia"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hint="eastAsia"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浙江省教育厅 制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9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9</w:t>
      </w:r>
      <w:r>
        <w:rPr>
          <w:rFonts w:ascii="Times New Roman" w:hAnsi="Times New Roman" w:eastAsia="仿宋_GB2312"/>
          <w:kern w:val="0"/>
          <w:sz w:val="32"/>
          <w:szCs w:val="32"/>
        </w:rPr>
        <w:t>月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专业建设状态数据表</w:t>
      </w:r>
    </w:p>
    <w:tbl>
      <w:tblPr>
        <w:tblStyle w:val="2"/>
        <w:tblW w:w="9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569"/>
        <w:gridCol w:w="692"/>
        <w:gridCol w:w="1446"/>
        <w:gridCol w:w="110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569" w:type="dxa"/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数据项</w:t>
            </w:r>
          </w:p>
        </w:tc>
        <w:tc>
          <w:tcPr>
            <w:tcW w:w="692" w:type="dxa"/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46" w:type="dxa"/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立项时</w:t>
            </w:r>
          </w:p>
        </w:tc>
        <w:tc>
          <w:tcPr>
            <w:tcW w:w="1105" w:type="dxa"/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1789" w:type="dxa"/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招生情况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当年在校生人数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当年新生实际报到数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当年第一志愿报考率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师资状况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专任教师数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教授为本科生授课占比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副教授数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拥有博士学位教师数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专任教师国（境）外三个月以上占比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双师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型教师数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兼职教师数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培养方案与课程体系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毕业最低学分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  <w:t>根据专业人才培养方案填写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其中公共基础课或通识教育类课程学分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专业必修课程学分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实践类教学环节学分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实践学分占总学分比例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小班化教学学时占当期总学时的比例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选修课学分占总学分比例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分层分类教学课程占当期课程总数比例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实验、实践教学条件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独立设置实验课程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综合性、创新性、设计类实验项目数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省级及以上教学实验示范中心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省级及以上的教学实践基地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校级以上校外实习基地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课程、教材、教学改革与成果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省级及以上课程建设项目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省级及以上教材建设项目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省级及以上教改项目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校级各类教学改革项目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获校级教学成果奖数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获省级教学成果奖数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获国家级教学成果奖数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教师发表教改论文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学生创新成果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省级及以上学科竞赛获奖数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申请专利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公开发表论文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其他省级及以上各类荣誉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就业情况与质量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毕业生人数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  <w:t>根据省教育评估院调查统计，按年度填写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就业率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升学率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学生国（境）外交流学习数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在校外国留学生数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毕业生起薪水平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专业对口相关度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毕业一年内离职率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毕业生对教学的满意度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用人单位对毕业生的满意度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专业认证情况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widowControl/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/>
                <w:iCs/>
                <w:color w:val="000000"/>
                <w:kern w:val="0"/>
                <w:sz w:val="20"/>
                <w:szCs w:val="20"/>
              </w:rPr>
              <w:t>通过国家专业认证的专业，在相应年份填“通过”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F53A0"/>
    <w:rsid w:val="654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2019-09-26T02:44:00Z</dcterms:created>
  <dc:creator>罗雯慧</dc:creator>
  <cp:lastModifiedBy>罗雯慧</cp:lastModifiedBy>
  <dcterms:modified xsi:type="dcterms:W3CDTF">2019-09-26T02:45:19Z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