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10"/>
        <w:rPr>
          <w:rFonts w:ascii="Times New Roman"/>
          <w:sz w:val="20"/>
        </w:rPr>
      </w:pPr>
    </w:p>
    <w:p>
      <w:pPr>
        <w:spacing w:before="0" w:line="1160" w:lineRule="exact"/>
        <w:ind w:left="145" w:right="370" w:firstLine="0"/>
        <w:jc w:val="center"/>
        <w:rPr>
          <w:sz w:val="106"/>
        </w:rPr>
      </w:pPr>
      <w:r>
        <w:rPr>
          <w:color w:val="CD4660"/>
          <w:w w:val="90"/>
          <w:sz w:val="106"/>
        </w:rPr>
        <w:t>绍兴市教育局文件</w:t>
      </w:r>
    </w:p>
    <w:p>
      <w:pPr>
        <w:pStyle w:val="4"/>
        <w:spacing w:before="2"/>
        <w:rPr>
          <w:sz w:val="83"/>
        </w:rPr>
      </w:pPr>
    </w:p>
    <w:p>
      <w:pPr>
        <w:spacing w:before="1"/>
        <w:ind w:left="327" w:right="313" w:firstLine="0"/>
        <w:jc w:val="center"/>
        <w:rPr>
          <w:sz w:val="29"/>
        </w:rPr>
      </w:pPr>
      <w:r>
        <w:pict>
          <v:line id="_x0000_s1026" o:spid="_x0000_s1026" o:spt="20" style="position:absolute;left:0pt;margin-left:82.8pt;margin-top:25.95pt;height:0pt;width:433.4pt;mso-position-horizontal-relative:page;mso-wrap-distance-bottom:0pt;mso-wrap-distance-top:0pt;z-index:0;mso-width-relative:page;mso-height-relative:page;" stroked="t" coordsize="21600,21600">
            <v:path arrowok="t"/>
            <v:fill focussize="0,0"/>
            <v:stroke weight="2.88pt" color="#D44B64"/>
            <v:imagedata o:title=""/>
            <o:lock v:ext="edit"/>
            <w10:wrap type="topAndBottom"/>
          </v:line>
        </w:pict>
      </w:r>
      <w:r>
        <w:rPr>
          <w:color w:val="4D4D4D"/>
          <w:w w:val="105"/>
          <w:sz w:val="29"/>
        </w:rPr>
        <w:t xml:space="preserve">绍市教高 </w:t>
      </w:r>
      <w:r>
        <w:rPr>
          <w:rFonts w:ascii="Arial" w:eastAsia="Arial"/>
          <w:color w:val="4D4D4D"/>
          <w:w w:val="105"/>
          <w:sz w:val="27"/>
        </w:rPr>
        <w:t xml:space="preserve">( 2018 )  </w:t>
      </w:r>
      <w:r>
        <w:rPr>
          <w:rFonts w:ascii="Arial" w:eastAsia="Arial"/>
          <w:color w:val="363638"/>
          <w:w w:val="105"/>
          <w:sz w:val="27"/>
        </w:rPr>
        <w:t xml:space="preserve">99 </w:t>
      </w:r>
      <w:r>
        <w:rPr>
          <w:color w:val="363638"/>
          <w:w w:val="105"/>
          <w:sz w:val="29"/>
        </w:rPr>
        <w:t>号</w:t>
      </w:r>
    </w:p>
    <w:p>
      <w:pPr>
        <w:pStyle w:val="4"/>
        <w:rPr>
          <w:sz w:val="30"/>
        </w:rPr>
      </w:pPr>
    </w:p>
    <w:p>
      <w:pPr>
        <w:spacing w:before="241"/>
        <w:ind w:left="221" w:right="370" w:firstLine="0"/>
        <w:jc w:val="center"/>
        <w:rPr>
          <w:sz w:val="40"/>
        </w:rPr>
      </w:pPr>
      <w:r>
        <w:rPr>
          <w:color w:val="363638"/>
          <w:w w:val="105"/>
          <w:sz w:val="40"/>
        </w:rPr>
        <w:t>绍兴市教育局关于组织开展</w:t>
      </w:r>
    </w:p>
    <w:p>
      <w:pPr>
        <w:spacing w:before="45"/>
        <w:ind w:left="327" w:right="370" w:firstLine="0"/>
        <w:jc w:val="center"/>
        <w:rPr>
          <w:sz w:val="40"/>
        </w:rPr>
      </w:pPr>
      <w:r>
        <w:rPr>
          <w:rFonts w:ascii="Times New Roman" w:eastAsia="Times New Roman"/>
          <w:color w:val="363638"/>
          <w:w w:val="105"/>
          <w:sz w:val="42"/>
        </w:rPr>
        <w:t>2018</w:t>
      </w:r>
      <w:r>
        <w:rPr>
          <w:rFonts w:ascii="Times New Roman" w:eastAsia="Times New Roman"/>
          <w:color w:val="363638"/>
          <w:spacing w:val="48"/>
          <w:w w:val="105"/>
          <w:sz w:val="42"/>
        </w:rPr>
        <w:t xml:space="preserve">  </w:t>
      </w:r>
      <w:r>
        <w:rPr>
          <w:color w:val="363638"/>
          <w:spacing w:val="10"/>
          <w:w w:val="105"/>
          <w:sz w:val="40"/>
        </w:rPr>
        <w:t>年市级精品</w:t>
      </w:r>
      <w:r>
        <w:rPr>
          <w:color w:val="363638"/>
          <w:w w:val="105"/>
          <w:sz w:val="40"/>
        </w:rPr>
        <w:t>（</w:t>
      </w:r>
      <w:r>
        <w:rPr>
          <w:color w:val="363638"/>
          <w:spacing w:val="-51"/>
          <w:w w:val="105"/>
          <w:sz w:val="40"/>
        </w:rPr>
        <w:t>在线开放</w:t>
      </w:r>
      <w:r>
        <w:rPr>
          <w:color w:val="363638"/>
          <w:w w:val="105"/>
          <w:sz w:val="40"/>
        </w:rPr>
        <w:t>）</w:t>
      </w:r>
      <w:r>
        <w:rPr>
          <w:color w:val="363638"/>
          <w:spacing w:val="-35"/>
          <w:w w:val="105"/>
          <w:sz w:val="40"/>
        </w:rPr>
        <w:t>课程建设的通知</w:t>
      </w:r>
    </w:p>
    <w:p>
      <w:pPr>
        <w:pStyle w:val="4"/>
        <w:spacing w:before="2"/>
        <w:rPr>
          <w:sz w:val="55"/>
        </w:rPr>
      </w:pPr>
    </w:p>
    <w:p>
      <w:pPr>
        <w:pStyle w:val="4"/>
        <w:ind w:left="103"/>
      </w:pPr>
      <w:r>
        <w:rPr>
          <w:color w:val="4D4D4D"/>
          <w:w w:val="95"/>
        </w:rPr>
        <w:t>各在绍高校：</w:t>
      </w:r>
    </w:p>
    <w:p>
      <w:pPr>
        <w:pStyle w:val="4"/>
        <w:spacing w:before="131" w:line="333" w:lineRule="auto"/>
        <w:ind w:left="103" w:right="107" w:firstLine="648"/>
        <w:jc w:val="both"/>
      </w:pPr>
      <w:r>
        <w:rPr>
          <w:color w:val="4D4D4D"/>
        </w:rPr>
        <w:t>为顺应“互联网＋“时代的发展趋势，深化教育教学改革，丰富</w:t>
      </w:r>
      <w:r>
        <w:rPr>
          <w:color w:val="4D4D4D"/>
          <w:w w:val="105"/>
        </w:rPr>
        <w:t xml:space="preserve">教育教学资源，进一步推进我市高校内涵建设，根据教育部《关 </w:t>
      </w:r>
      <w:r>
        <w:rPr>
          <w:color w:val="363638"/>
          <w:w w:val="105"/>
        </w:rPr>
        <w:t>于加强高等学校在线开放课程建设应用与管理的意见》（教高</w:t>
      </w:r>
      <w:r>
        <w:rPr>
          <w:rFonts w:ascii="Arial" w:hAnsi="Arial" w:eastAsia="Arial"/>
          <w:color w:val="4D4D4D"/>
          <w:w w:val="105"/>
          <w:sz w:val="27"/>
        </w:rPr>
        <w:t>(2015</w:t>
      </w:r>
      <w:r>
        <w:rPr>
          <w:rFonts w:ascii="Arial" w:hAnsi="Arial" w:eastAsia="Arial"/>
          <w:color w:val="4D4D4D"/>
          <w:spacing w:val="10"/>
          <w:w w:val="105"/>
          <w:sz w:val="27"/>
        </w:rPr>
        <w:t xml:space="preserve">)  </w:t>
      </w:r>
      <w:r>
        <w:rPr>
          <w:rFonts w:ascii="Arial" w:hAnsi="Arial" w:eastAsia="Arial"/>
          <w:color w:val="4D4D4D"/>
          <w:w w:val="105"/>
          <w:sz w:val="27"/>
        </w:rPr>
        <w:t>3</w:t>
      </w:r>
      <w:r>
        <w:rPr>
          <w:rFonts w:ascii="Arial" w:hAnsi="Arial" w:eastAsia="Arial"/>
          <w:color w:val="4D4D4D"/>
          <w:spacing w:val="8"/>
          <w:w w:val="105"/>
          <w:sz w:val="27"/>
        </w:rPr>
        <w:t xml:space="preserve"> </w:t>
      </w:r>
      <w:r>
        <w:rPr>
          <w:color w:val="4D4D4D"/>
          <w:w w:val="105"/>
        </w:rPr>
        <w:t>号）</w:t>
      </w:r>
      <w:r>
        <w:rPr>
          <w:color w:val="4D4D4D"/>
          <w:spacing w:val="-7"/>
          <w:w w:val="105"/>
        </w:rPr>
        <w:t>、《浙江省教育厅办公室关 于组织开展省级精品在</w:t>
      </w:r>
      <w:r>
        <w:rPr>
          <w:color w:val="4D4D4D"/>
          <w:spacing w:val="8"/>
          <w:w w:val="105"/>
        </w:rPr>
        <w:t>线开放课程建设工作的通知》</w:t>
      </w:r>
      <w:r>
        <w:rPr>
          <w:color w:val="4D4D4D"/>
          <w:spacing w:val="-102"/>
          <w:w w:val="105"/>
        </w:rPr>
        <w:t>（</w:t>
      </w:r>
      <w:r>
        <w:rPr>
          <w:color w:val="4D4D4D"/>
          <w:spacing w:val="0"/>
          <w:w w:val="105"/>
        </w:rPr>
        <w:t xml:space="preserve">浙教办高教 </w:t>
      </w:r>
      <w:r>
        <w:rPr>
          <w:rFonts w:ascii="Arial" w:hAnsi="Arial" w:eastAsia="Arial"/>
          <w:color w:val="4D4D4D"/>
          <w:spacing w:val="-25"/>
          <w:w w:val="105"/>
          <w:sz w:val="27"/>
        </w:rPr>
        <w:t xml:space="preserve">( </w:t>
      </w:r>
      <w:r>
        <w:rPr>
          <w:rFonts w:ascii="Arial" w:hAnsi="Arial" w:eastAsia="Arial"/>
          <w:color w:val="4D4D4D"/>
          <w:w w:val="105"/>
          <w:sz w:val="27"/>
        </w:rPr>
        <w:t>2015</w:t>
      </w:r>
      <w:r>
        <w:rPr>
          <w:rFonts w:ascii="Arial" w:hAnsi="Arial" w:eastAsia="Arial"/>
          <w:color w:val="4D4D4D"/>
          <w:spacing w:val="-12"/>
          <w:w w:val="105"/>
          <w:sz w:val="27"/>
        </w:rPr>
        <w:t xml:space="preserve"> ) </w:t>
      </w:r>
      <w:r>
        <w:rPr>
          <w:rFonts w:ascii="Arial" w:hAnsi="Arial" w:eastAsia="Arial"/>
          <w:color w:val="363638"/>
          <w:spacing w:val="6"/>
          <w:w w:val="105"/>
          <w:sz w:val="27"/>
        </w:rPr>
        <w:t>95</w:t>
      </w:r>
      <w:r>
        <w:rPr>
          <w:rFonts w:ascii="Arial" w:hAnsi="Arial" w:eastAsia="Arial"/>
          <w:color w:val="363638"/>
          <w:spacing w:val="-17"/>
          <w:w w:val="105"/>
          <w:sz w:val="27"/>
        </w:rPr>
        <w:t xml:space="preserve"> </w:t>
      </w:r>
      <w:r>
        <w:rPr>
          <w:color w:val="363638"/>
          <w:w w:val="105"/>
        </w:rPr>
        <w:t>号</w:t>
      </w:r>
      <w:r>
        <w:rPr>
          <w:color w:val="363638"/>
          <w:spacing w:val="-58"/>
          <w:w w:val="105"/>
        </w:rPr>
        <w:t>）</w:t>
      </w:r>
      <w:r>
        <w:rPr>
          <w:color w:val="363638"/>
          <w:spacing w:val="-43"/>
          <w:w w:val="105"/>
        </w:rPr>
        <w:t>， 决定</w:t>
      </w:r>
      <w:r>
        <w:rPr>
          <w:color w:val="4D4D4D"/>
          <w:spacing w:val="10"/>
        </w:rPr>
        <w:t xml:space="preserve">组织开展 </w:t>
      </w:r>
      <w:r>
        <w:rPr>
          <w:rFonts w:ascii="Arial" w:hAnsi="Arial" w:eastAsia="Arial"/>
          <w:color w:val="4D4D4D"/>
          <w:sz w:val="27"/>
        </w:rPr>
        <w:t xml:space="preserve">2018  </w:t>
      </w:r>
      <w:r>
        <w:rPr>
          <w:color w:val="4D4D4D"/>
          <w:spacing w:val="12"/>
        </w:rPr>
        <w:t>年市级精品</w:t>
      </w:r>
      <w:r>
        <w:rPr>
          <w:color w:val="4D4D4D"/>
        </w:rPr>
        <w:t>（</w:t>
      </w:r>
      <w:r>
        <w:rPr>
          <w:color w:val="4D4D4D"/>
          <w:spacing w:val="-9"/>
        </w:rPr>
        <w:t>在线开放</w:t>
      </w:r>
      <w:r>
        <w:rPr>
          <w:color w:val="4D4D4D"/>
        </w:rPr>
        <w:t>）</w:t>
      </w:r>
      <w:r>
        <w:rPr>
          <w:color w:val="4D4D4D"/>
          <w:spacing w:val="-12"/>
        </w:rPr>
        <w:t>课程建设。现将有关事项通</w:t>
      </w:r>
      <w:r>
        <w:rPr>
          <w:color w:val="4D4D4D"/>
          <w:spacing w:val="-12"/>
          <w:w w:val="85"/>
        </w:rPr>
        <w:t>知如下：</w:t>
      </w:r>
    </w:p>
    <w:p>
      <w:pPr>
        <w:pStyle w:val="3"/>
        <w:spacing w:before="28"/>
        <w:ind w:left="749"/>
      </w:pPr>
      <w:r>
        <w:rPr>
          <w:color w:val="363638"/>
        </w:rPr>
        <w:t>一、建设目标与任务</w:t>
      </w:r>
    </w:p>
    <w:p>
      <w:pPr>
        <w:pStyle w:val="4"/>
        <w:spacing w:before="151" w:line="340" w:lineRule="auto"/>
        <w:ind w:left="131" w:right="100" w:firstLine="637"/>
        <w:jc w:val="both"/>
      </w:pPr>
      <w:r>
        <w:rPr>
          <w:color w:val="4D4D4D"/>
          <w:w w:val="105"/>
        </w:rPr>
        <w:t>高校发挥学科专业优势和现代教育技术优势，以大学生文化 素质教育课、受众面广量大的公共课和专业核心课程为重点，建 设适合网络传播的在线开放课程。支持高校跨校或跨专业通过协</w:t>
      </w:r>
    </w:p>
    <w:p>
      <w:pPr>
        <w:pStyle w:val="4"/>
        <w:spacing w:before="4"/>
        <w:rPr>
          <w:sz w:val="24"/>
        </w:rPr>
      </w:pPr>
    </w:p>
    <w:p>
      <w:pPr>
        <w:spacing w:before="1"/>
        <w:ind w:left="0" w:right="632" w:firstLine="0"/>
        <w:jc w:val="right"/>
        <w:rPr>
          <w:rFonts w:ascii="Times New Roman" w:hAnsi="Times New Roman"/>
          <w:sz w:val="28"/>
        </w:rPr>
      </w:pPr>
      <w:r>
        <w:rPr>
          <w:color w:val="363638"/>
          <w:w w:val="70"/>
          <w:sz w:val="58"/>
        </w:rPr>
        <w:t>—</w:t>
      </w:r>
      <w:r>
        <w:rPr>
          <w:color w:val="363638"/>
          <w:spacing w:val="-128"/>
          <w:w w:val="70"/>
          <w:sz w:val="58"/>
        </w:rPr>
        <w:t xml:space="preserve"> </w:t>
      </w:r>
      <w:r>
        <w:rPr>
          <w:rFonts w:ascii="Times New Roman" w:hAnsi="Times New Roman"/>
          <w:color w:val="363638"/>
          <w:w w:val="70"/>
          <w:sz w:val="28"/>
        </w:rPr>
        <w:t>l</w:t>
      </w:r>
    </w:p>
    <w:p>
      <w:pPr>
        <w:spacing w:after="0"/>
        <w:jc w:val="right"/>
        <w:rPr>
          <w:rFonts w:ascii="Times New Roman" w:hAnsi="Times New Roman"/>
          <w:sz w:val="28"/>
        </w:rPr>
        <w:sectPr>
          <w:type w:val="continuous"/>
          <w:pgSz w:w="12240" w:h="20160"/>
          <w:pgMar w:top="1940" w:right="1660" w:bottom="280" w:left="1480" w:header="720" w:footer="720" w:gutter="0"/>
        </w:sectPr>
      </w:pPr>
    </w:p>
    <w:p>
      <w:pPr>
        <w:pStyle w:val="4"/>
        <w:spacing w:line="348" w:lineRule="auto"/>
        <w:ind w:left="202" w:right="119" w:firstLine="18"/>
        <w:jc w:val="both"/>
      </w:pPr>
      <w:r>
        <w:rPr>
          <w:color w:val="4B4B4B"/>
          <w:w w:val="105"/>
        </w:rPr>
        <w:t xml:space="preserve">同创新和集成创新的方式建设满足不同教学需要、不同学习需求 的在线开放课程（群），通过课程建设和优质资源共享来有效提升高校课程教学质量与水平。发挥高校数字化校园的平台功能与条 件保障，将碎片化学习、普适学习、无缝学习、泛在学习、智慧 学习、创客教育等先进的教育教学理念融入其中，积极开展在线 </w:t>
      </w:r>
      <w:r>
        <w:rPr>
          <w:color w:val="4B4B4B"/>
          <w:w w:val="95"/>
        </w:rPr>
        <w:t>教学资源建设。</w:t>
      </w:r>
    </w:p>
    <w:p>
      <w:pPr>
        <w:pStyle w:val="4"/>
        <w:spacing w:before="31" w:line="340" w:lineRule="auto"/>
        <w:ind w:left="190" w:right="115" w:firstLine="645"/>
        <w:jc w:val="both"/>
      </w:pPr>
      <w:r>
        <w:rPr>
          <w:color w:val="4B4B4B"/>
          <w:w w:val="105"/>
        </w:rPr>
        <w:t xml:space="preserve">综合考察课程的教学内容与资源、教学设计与方法、教学活 动与评价、教学效果与影响、团队支持与服务等要素。积极筹建 绍兴市高校慕课联盟，尝试探索绍兴市高校课程共享、学分互认 机制，尝试面向社会公众的在线教学资源多元应用。积极鼓励高 </w:t>
      </w:r>
      <w:r>
        <w:rPr>
          <w:color w:val="4B4B4B"/>
          <w:w w:val="110"/>
        </w:rPr>
        <w:t>校参与省级、国家级精品在线开放课程评价认定，并争取有一批</w:t>
      </w:r>
      <w:r>
        <w:rPr>
          <w:color w:val="4B4B4B"/>
          <w:w w:val="95"/>
        </w:rPr>
        <w:t>课程列入立项。</w:t>
      </w:r>
    </w:p>
    <w:p>
      <w:pPr>
        <w:pStyle w:val="3"/>
        <w:spacing w:before="19"/>
        <w:ind w:left="813"/>
      </w:pPr>
      <w:r>
        <w:rPr>
          <w:color w:val="3B3B3D"/>
          <w:w w:val="105"/>
        </w:rPr>
        <w:t>二、建设原则</w:t>
      </w:r>
    </w:p>
    <w:p>
      <w:pPr>
        <w:pStyle w:val="4"/>
        <w:spacing w:before="165" w:line="343" w:lineRule="auto"/>
        <w:ind w:left="178" w:right="191" w:firstLine="646"/>
        <w:jc w:val="both"/>
      </w:pPr>
      <w:r>
        <w:rPr>
          <w:color w:val="4B4B4B"/>
          <w:w w:val="105"/>
        </w:rPr>
        <w:t>立足自主建设。采取”政府推动、高校为主、社会参与”的方式，集聚优势力量和优质资源，引入竟争机制，建立在线开放课 程和平台可持续发展的长效机制。</w:t>
      </w:r>
    </w:p>
    <w:p>
      <w:pPr>
        <w:pStyle w:val="4"/>
        <w:spacing w:before="49" w:line="343" w:lineRule="auto"/>
        <w:ind w:left="166" w:right="154" w:firstLine="652"/>
        <w:jc w:val="right"/>
      </w:pPr>
      <w:r>
        <w:rPr>
          <w:color w:val="4B4B4B"/>
          <w:w w:val="105"/>
        </w:rPr>
        <w:t>注重应用共享。坚持应用驱动、建以致用，整合优质教育资源和技术资源，实现课程和平台的多种形式应用与共享，促进教 育教学改革和教育制度创新，搭建高校优质资源服务社会的平台。</w:t>
      </w:r>
      <w:r>
        <w:rPr>
          <w:color w:val="4B4B4B"/>
          <w:w w:val="110"/>
        </w:rPr>
        <w:t>加强规范管理。坚持依法管理，明确学校和平台运行机构的</w:t>
      </w:r>
    </w:p>
    <w:p>
      <w:pPr>
        <w:pStyle w:val="4"/>
        <w:spacing w:before="28" w:line="338" w:lineRule="auto"/>
        <w:ind w:left="151" w:right="203" w:firstLine="9"/>
        <w:jc w:val="both"/>
      </w:pPr>
      <w:r>
        <w:rPr>
          <w:color w:val="4B4B4B"/>
          <w:w w:val="105"/>
        </w:rPr>
        <w:t xml:space="preserve">主体责任，强化建设主体的自我管理机制，规范在线开放课程建 设工作程序。完善课程内容审查制度，加强教学过程和平台运行 </w:t>
      </w:r>
      <w:r>
        <w:rPr>
          <w:color w:val="3B3B3D"/>
          <w:spacing w:val="1"/>
        </w:rPr>
        <w:t>监管， 防范和制止有害信息传播， 保障平台</w:t>
      </w:r>
      <w:r>
        <w:rPr>
          <w:color w:val="59595B"/>
          <w:spacing w:val="10"/>
        </w:rPr>
        <w:t>运行稳定和用户、资</w:t>
      </w:r>
      <w:r>
        <w:rPr>
          <w:color w:val="4B4B4B"/>
          <w:spacing w:val="10"/>
          <w:w w:val="95"/>
        </w:rPr>
        <w:t>源等信息安全。</w:t>
      </w:r>
    </w:p>
    <w:p>
      <w:pPr>
        <w:pStyle w:val="3"/>
        <w:spacing w:before="37"/>
        <w:ind w:left="767"/>
      </w:pPr>
      <w:r>
        <w:rPr>
          <w:color w:val="3B3B3D"/>
        </w:rPr>
        <w:t>三、推荐课程类型</w:t>
      </w:r>
    </w:p>
    <w:p>
      <w:pPr>
        <w:pStyle w:val="4"/>
        <w:spacing w:before="9"/>
        <w:rPr>
          <w:sz w:val="36"/>
        </w:rPr>
      </w:pPr>
    </w:p>
    <w:p>
      <w:pPr>
        <w:spacing w:before="0"/>
        <w:ind w:left="115" w:right="0" w:firstLine="0"/>
        <w:jc w:val="both"/>
        <w:rPr>
          <w:rFonts w:ascii="Times New Roman" w:eastAsia="Times New Roman"/>
          <w:sz w:val="29"/>
        </w:rPr>
      </w:pPr>
      <w:r>
        <w:rPr>
          <w:color w:val="4B4B4B"/>
          <w:sz w:val="28"/>
        </w:rPr>
        <w:t xml:space="preserve">一 </w:t>
      </w:r>
      <w:r>
        <w:rPr>
          <w:rFonts w:ascii="Times New Roman" w:eastAsia="Times New Roman"/>
          <w:color w:val="4B4B4B"/>
          <w:sz w:val="29"/>
        </w:rPr>
        <w:t>2</w:t>
      </w:r>
    </w:p>
    <w:p>
      <w:pPr>
        <w:spacing w:after="0"/>
        <w:jc w:val="both"/>
        <w:rPr>
          <w:rFonts w:ascii="Times New Roman" w:eastAsia="Times New Roman"/>
          <w:sz w:val="29"/>
        </w:rPr>
        <w:sectPr>
          <w:pgSz w:w="12240" w:h="20160"/>
          <w:pgMar w:top="1520" w:right="1360" w:bottom="280" w:left="1640" w:header="720" w:footer="720" w:gutter="0"/>
        </w:sectPr>
      </w:pPr>
    </w:p>
    <w:p>
      <w:pPr>
        <w:pStyle w:val="8"/>
        <w:numPr>
          <w:ilvl w:val="0"/>
          <w:numId w:val="1"/>
        </w:numPr>
        <w:tabs>
          <w:tab w:val="left" w:pos="1164"/>
          <w:tab w:val="left" w:pos="1165"/>
        </w:tabs>
        <w:spacing w:before="18" w:after="0" w:line="240" w:lineRule="auto"/>
        <w:ind w:left="1164" w:right="0" w:hanging="466"/>
        <w:jc w:val="left"/>
        <w:rPr>
          <w:rFonts w:ascii="Times New Roman" w:eastAsia="Times New Roman"/>
          <w:color w:val="4D4F50"/>
          <w:sz w:val="30"/>
        </w:rPr>
      </w:pPr>
      <w:r>
        <w:rPr>
          <w:color w:val="5D5E60"/>
          <w:spacing w:val="-11"/>
          <w:sz w:val="29"/>
        </w:rPr>
        <w:t>使用人数多、受益面广的 基础课、公 共课</w:t>
      </w:r>
      <w:r>
        <w:rPr>
          <w:color w:val="38383B"/>
          <w:w w:val="75"/>
          <w:sz w:val="29"/>
        </w:rPr>
        <w:t>；</w:t>
      </w:r>
    </w:p>
    <w:p>
      <w:pPr>
        <w:pStyle w:val="8"/>
        <w:numPr>
          <w:ilvl w:val="0"/>
          <w:numId w:val="1"/>
        </w:numPr>
        <w:tabs>
          <w:tab w:val="left" w:pos="1162"/>
          <w:tab w:val="left" w:pos="1163"/>
        </w:tabs>
        <w:spacing w:before="128" w:after="0" w:line="240" w:lineRule="auto"/>
        <w:ind w:left="1162" w:right="0" w:hanging="449"/>
        <w:jc w:val="left"/>
        <w:rPr>
          <w:rFonts w:ascii="Times New Roman" w:eastAsia="Times New Roman"/>
          <w:color w:val="4D4F50"/>
          <w:sz w:val="29"/>
        </w:rPr>
      </w:pPr>
      <w:r>
        <w:rPr>
          <w:color w:val="5D5E60"/>
          <w:w w:val="95"/>
          <w:sz w:val="29"/>
        </w:rPr>
        <w:t>各高校有特色的专业核心课；</w:t>
      </w:r>
    </w:p>
    <w:p>
      <w:pPr>
        <w:pStyle w:val="8"/>
        <w:numPr>
          <w:ilvl w:val="0"/>
          <w:numId w:val="1"/>
        </w:numPr>
        <w:tabs>
          <w:tab w:val="left" w:pos="1169"/>
          <w:tab w:val="left" w:pos="1170"/>
        </w:tabs>
        <w:spacing w:before="130" w:after="0" w:line="240" w:lineRule="auto"/>
        <w:ind w:left="1169" w:right="0" w:hanging="462"/>
        <w:jc w:val="left"/>
        <w:rPr>
          <w:rFonts w:ascii="Times New Roman" w:eastAsia="Times New Roman"/>
          <w:color w:val="4D4F50"/>
          <w:sz w:val="30"/>
        </w:rPr>
      </w:pPr>
      <w:r>
        <w:rPr>
          <w:color w:val="5D5E60"/>
          <w:w w:val="95"/>
          <w:sz w:val="29"/>
        </w:rPr>
        <w:t>大学生文化素质教育课；</w:t>
      </w:r>
    </w:p>
    <w:p>
      <w:pPr>
        <w:pStyle w:val="8"/>
        <w:numPr>
          <w:ilvl w:val="0"/>
          <w:numId w:val="1"/>
        </w:numPr>
        <w:tabs>
          <w:tab w:val="left" w:pos="1172"/>
          <w:tab w:val="left" w:pos="1173"/>
        </w:tabs>
        <w:spacing w:before="135" w:after="0" w:line="240" w:lineRule="auto"/>
        <w:ind w:left="1172" w:right="0" w:hanging="458"/>
        <w:jc w:val="left"/>
        <w:rPr>
          <w:rFonts w:ascii="Times New Roman" w:eastAsia="Times New Roman"/>
          <w:color w:val="4D4F50"/>
          <w:sz w:val="29"/>
        </w:rPr>
      </w:pPr>
      <w:r>
        <w:rPr>
          <w:color w:val="5D5E60"/>
          <w:w w:val="95"/>
          <w:sz w:val="29"/>
        </w:rPr>
        <w:t>创新创业类课程；</w:t>
      </w:r>
    </w:p>
    <w:p>
      <w:pPr>
        <w:pStyle w:val="8"/>
        <w:numPr>
          <w:ilvl w:val="0"/>
          <w:numId w:val="1"/>
        </w:numPr>
        <w:tabs>
          <w:tab w:val="left" w:pos="1165"/>
          <w:tab w:val="left" w:pos="1166"/>
        </w:tabs>
        <w:spacing w:before="116" w:after="0" w:line="240" w:lineRule="auto"/>
        <w:ind w:left="1165" w:right="0" w:hanging="460"/>
        <w:jc w:val="left"/>
        <w:rPr>
          <w:rFonts w:ascii="Times New Roman" w:eastAsia="Times New Roman"/>
          <w:color w:val="4D4F50"/>
          <w:sz w:val="29"/>
        </w:rPr>
      </w:pPr>
      <w:r>
        <w:rPr>
          <w:color w:val="5D5E60"/>
          <w:sz w:val="29"/>
        </w:rPr>
        <w:t>体现绍兴地方特色、本土文化方面的课程。</w:t>
      </w:r>
    </w:p>
    <w:p>
      <w:pPr>
        <w:pStyle w:val="4"/>
        <w:spacing w:before="130"/>
        <w:ind w:left="728"/>
      </w:pPr>
      <w:r>
        <w:rPr>
          <w:color w:val="4D4F50"/>
          <w:w w:val="105"/>
        </w:rPr>
        <w:t>巳为省级及以上精品在线开放课程的，原则上不参加本次评</w:t>
      </w:r>
    </w:p>
    <w:p>
      <w:pPr>
        <w:pStyle w:val="4"/>
        <w:spacing w:before="166"/>
        <w:ind w:left="112"/>
      </w:pPr>
      <w:r>
        <w:rPr>
          <w:color w:val="5D5E60"/>
          <w:w w:val="70"/>
        </w:rPr>
        <w:t>选。</w:t>
      </w:r>
    </w:p>
    <w:p>
      <w:pPr>
        <w:pStyle w:val="2"/>
        <w:spacing w:before="128"/>
        <w:ind w:left="692"/>
      </w:pPr>
      <w:r>
        <w:rPr>
          <w:color w:val="38383B"/>
          <w:w w:val="95"/>
        </w:rPr>
        <w:t>四、推荐申报名额</w:t>
      </w:r>
    </w:p>
    <w:p>
      <w:pPr>
        <w:pStyle w:val="4"/>
        <w:spacing w:before="135"/>
        <w:ind w:left="713"/>
      </w:pPr>
      <w:r>
        <w:rPr>
          <w:rFonts w:ascii="Times New Roman" w:eastAsia="Times New Roman"/>
          <w:color w:val="4D4F50"/>
        </w:rPr>
        <w:t>2018</w:t>
      </w:r>
      <w:r>
        <w:rPr>
          <w:rFonts w:ascii="Times New Roman" w:eastAsia="Times New Roman"/>
          <w:color w:val="4D4F50"/>
          <w:spacing w:val="55"/>
        </w:rPr>
        <w:t xml:space="preserve"> </w:t>
      </w:r>
      <w:r>
        <w:rPr>
          <w:color w:val="4D4F50"/>
          <w:spacing w:val="-2"/>
        </w:rPr>
        <w:t>年市级精品</w:t>
      </w:r>
      <w:r>
        <w:rPr>
          <w:color w:val="4D4F50"/>
        </w:rPr>
        <w:t>（</w:t>
      </w:r>
      <w:r>
        <w:rPr>
          <w:color w:val="4D4F50"/>
          <w:spacing w:val="-24"/>
        </w:rPr>
        <w:t>在线开 放</w:t>
      </w:r>
      <w:r>
        <w:rPr>
          <w:color w:val="4D4F50"/>
        </w:rPr>
        <w:t>）</w:t>
      </w:r>
      <w:r>
        <w:rPr>
          <w:color w:val="4D4F50"/>
          <w:spacing w:val="-11"/>
        </w:rPr>
        <w:t>课程实 行各校限额推荐并 适当</w:t>
      </w:r>
    </w:p>
    <w:p>
      <w:pPr>
        <w:pStyle w:val="4"/>
        <w:spacing w:before="2"/>
        <w:rPr>
          <w:sz w:val="9"/>
        </w:rPr>
      </w:pPr>
    </w:p>
    <w:p>
      <w:pPr>
        <w:pStyle w:val="4"/>
        <w:spacing w:before="11"/>
        <w:ind w:left="123"/>
      </w:pPr>
      <w:r>
        <w:rPr>
          <w:color w:val="5D5E60"/>
          <w:w w:val="95"/>
        </w:rPr>
        <w:t>向思政类课程倾 斜的办法</w:t>
      </w:r>
      <w:r>
        <w:rPr>
          <w:color w:val="38383B"/>
          <w:w w:val="95"/>
        </w:rPr>
        <w:t xml:space="preserve">， </w:t>
      </w:r>
      <w:r>
        <w:rPr>
          <w:color w:val="5D5E60"/>
          <w:w w:val="95"/>
        </w:rPr>
        <w:t>具体推荐数量如 下</w:t>
      </w:r>
      <w:r>
        <w:rPr>
          <w:color w:val="38383B"/>
          <w:w w:val="85"/>
        </w:rPr>
        <w:t>：</w:t>
      </w:r>
    </w:p>
    <w:p>
      <w:pPr>
        <w:pStyle w:val="4"/>
        <w:rPr>
          <w:sz w:val="20"/>
        </w:rPr>
      </w:pPr>
    </w:p>
    <w:p>
      <w:pPr>
        <w:pStyle w:val="4"/>
        <w:spacing w:before="8" w:after="1"/>
        <w:rPr>
          <w:sz w:val="25"/>
        </w:rPr>
      </w:pPr>
    </w:p>
    <w:tbl>
      <w:tblPr>
        <w:tblStyle w:val="6"/>
        <w:tblW w:w="8457" w:type="dxa"/>
        <w:tblInd w:w="2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43"/>
        <w:gridCol w:w="3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4943" w:type="dxa"/>
          </w:tcPr>
          <w:p>
            <w:pPr>
              <w:pStyle w:val="9"/>
              <w:spacing w:before="129"/>
              <w:ind w:left="392" w:right="669"/>
              <w:jc w:val="center"/>
              <w:rPr>
                <w:sz w:val="29"/>
              </w:rPr>
            </w:pPr>
            <w:r>
              <w:rPr>
                <w:color w:val="5D5E60"/>
                <w:sz w:val="29"/>
              </w:rPr>
              <w:t>学校</w:t>
            </w:r>
          </w:p>
        </w:tc>
        <w:tc>
          <w:tcPr>
            <w:tcW w:w="3514" w:type="dxa"/>
            <w:tcBorders>
              <w:right w:val="single" w:color="6B6B70" w:sz="6" w:space="0"/>
            </w:tcBorders>
          </w:tcPr>
          <w:p>
            <w:pPr>
              <w:pStyle w:val="9"/>
              <w:spacing w:before="122"/>
              <w:ind w:left="704"/>
              <w:rPr>
                <w:sz w:val="29"/>
              </w:rPr>
            </w:pPr>
            <w:r>
              <w:rPr>
                <w:color w:val="5D5E60"/>
                <w:w w:val="95"/>
                <w:sz w:val="29"/>
              </w:rPr>
              <w:t>推荐数量（门）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943" w:type="dxa"/>
          </w:tcPr>
          <w:p>
            <w:pPr>
              <w:pStyle w:val="9"/>
              <w:spacing w:before="65"/>
              <w:ind w:left="392" w:right="697"/>
              <w:jc w:val="center"/>
              <w:rPr>
                <w:sz w:val="29"/>
              </w:rPr>
            </w:pPr>
            <w:r>
              <w:rPr>
                <w:color w:val="5D5E60"/>
                <w:sz w:val="29"/>
              </w:rPr>
              <w:t>绍兴文理学院</w:t>
            </w:r>
          </w:p>
        </w:tc>
        <w:tc>
          <w:tcPr>
            <w:tcW w:w="3514" w:type="dxa"/>
            <w:tcBorders>
              <w:right w:val="single" w:color="6B6B70" w:sz="6" w:space="0"/>
            </w:tcBorders>
          </w:tcPr>
          <w:p>
            <w:pPr>
              <w:pStyle w:val="9"/>
              <w:spacing w:before="124"/>
              <w:ind w:left="21"/>
              <w:jc w:val="center"/>
              <w:rPr>
                <w:rFonts w:ascii="Times New Roman"/>
                <w:sz w:val="30"/>
              </w:rPr>
            </w:pPr>
            <w:r>
              <w:rPr>
                <w:rFonts w:ascii="Times New Roman"/>
                <w:color w:val="4D4F50"/>
                <w:w w:val="104"/>
                <w:sz w:val="3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943" w:type="dxa"/>
          </w:tcPr>
          <w:p>
            <w:pPr>
              <w:pStyle w:val="9"/>
              <w:spacing w:before="49"/>
              <w:ind w:left="392" w:right="701"/>
              <w:jc w:val="center"/>
              <w:rPr>
                <w:sz w:val="29"/>
              </w:rPr>
            </w:pPr>
            <w:r>
              <w:rPr>
                <w:color w:val="5D5E60"/>
                <w:sz w:val="29"/>
              </w:rPr>
              <w:t>浙江越秀外国语学院</w:t>
            </w:r>
          </w:p>
        </w:tc>
        <w:tc>
          <w:tcPr>
            <w:tcW w:w="3514" w:type="dxa"/>
            <w:tcBorders>
              <w:right w:val="single" w:color="6B6B70" w:sz="6" w:space="0"/>
            </w:tcBorders>
          </w:tcPr>
          <w:p>
            <w:pPr>
              <w:pStyle w:val="9"/>
              <w:spacing w:before="117"/>
              <w:ind w:left="17"/>
              <w:jc w:val="center"/>
              <w:rPr>
                <w:rFonts w:ascii="Times New Roman"/>
                <w:sz w:val="29"/>
              </w:rPr>
            </w:pPr>
            <w:r>
              <w:rPr>
                <w:rFonts w:ascii="Times New Roman"/>
                <w:color w:val="4D4F50"/>
                <w:w w:val="110"/>
                <w:sz w:val="29"/>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4943" w:type="dxa"/>
          </w:tcPr>
          <w:p>
            <w:pPr>
              <w:pStyle w:val="9"/>
              <w:spacing w:before="50"/>
              <w:ind w:left="392" w:right="734"/>
              <w:jc w:val="center"/>
              <w:rPr>
                <w:sz w:val="29"/>
              </w:rPr>
            </w:pPr>
            <w:r>
              <w:rPr>
                <w:color w:val="5D5E60"/>
                <w:sz w:val="29"/>
              </w:rPr>
              <w:t>浙江工业大学之江学院</w:t>
            </w:r>
          </w:p>
        </w:tc>
        <w:tc>
          <w:tcPr>
            <w:tcW w:w="3514" w:type="dxa"/>
            <w:tcBorders>
              <w:right w:val="single" w:color="6B6B70" w:sz="6" w:space="0"/>
            </w:tcBorders>
          </w:tcPr>
          <w:p>
            <w:pPr>
              <w:pStyle w:val="9"/>
              <w:spacing w:before="118"/>
              <w:ind w:left="20"/>
              <w:jc w:val="center"/>
              <w:rPr>
                <w:rFonts w:ascii="Times New Roman"/>
                <w:sz w:val="29"/>
              </w:rPr>
            </w:pPr>
            <w:r>
              <w:rPr>
                <w:rFonts w:ascii="Times New Roman"/>
                <w:color w:val="4D4F50"/>
                <w:w w:val="103"/>
                <w:sz w:val="29"/>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4943" w:type="dxa"/>
          </w:tcPr>
          <w:p>
            <w:pPr>
              <w:pStyle w:val="9"/>
              <w:spacing w:before="39"/>
              <w:ind w:left="392" w:right="734"/>
              <w:jc w:val="center"/>
              <w:rPr>
                <w:sz w:val="29"/>
              </w:rPr>
            </w:pPr>
            <w:r>
              <w:rPr>
                <w:color w:val="5D5E60"/>
                <w:sz w:val="29"/>
              </w:rPr>
              <w:t>浙江农林大学暨阳学院</w:t>
            </w:r>
          </w:p>
        </w:tc>
        <w:tc>
          <w:tcPr>
            <w:tcW w:w="3514" w:type="dxa"/>
            <w:tcBorders>
              <w:right w:val="single" w:color="6B6B70" w:sz="6" w:space="0"/>
            </w:tcBorders>
          </w:tcPr>
          <w:p>
            <w:pPr>
              <w:pStyle w:val="9"/>
              <w:spacing w:before="114"/>
              <w:ind w:left="20"/>
              <w:jc w:val="center"/>
              <w:rPr>
                <w:rFonts w:ascii="Times New Roman"/>
                <w:sz w:val="29"/>
              </w:rPr>
            </w:pPr>
            <w:r>
              <w:rPr>
                <w:rFonts w:ascii="Times New Roman"/>
                <w:color w:val="4D4F50"/>
                <w:w w:val="103"/>
                <w:sz w:val="29"/>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4943" w:type="dxa"/>
          </w:tcPr>
          <w:p>
            <w:pPr>
              <w:pStyle w:val="9"/>
              <w:spacing w:before="39"/>
              <w:ind w:left="392" w:right="727"/>
              <w:jc w:val="center"/>
              <w:rPr>
                <w:sz w:val="29"/>
              </w:rPr>
            </w:pPr>
            <w:r>
              <w:rPr>
                <w:color w:val="5D5E60"/>
                <w:sz w:val="29"/>
              </w:rPr>
              <w:t>绍兴文理学院元培学院</w:t>
            </w:r>
          </w:p>
        </w:tc>
        <w:tc>
          <w:tcPr>
            <w:tcW w:w="3514" w:type="dxa"/>
            <w:tcBorders>
              <w:right w:val="single" w:color="6B6B70" w:sz="6" w:space="0"/>
            </w:tcBorders>
          </w:tcPr>
          <w:p>
            <w:pPr>
              <w:pStyle w:val="9"/>
              <w:spacing w:before="114"/>
              <w:ind w:left="20"/>
              <w:jc w:val="center"/>
              <w:rPr>
                <w:rFonts w:ascii="Times New Roman"/>
                <w:sz w:val="29"/>
              </w:rPr>
            </w:pPr>
            <w:r>
              <w:rPr>
                <w:rFonts w:ascii="Times New Roman"/>
                <w:color w:val="4D4F50"/>
                <w:w w:val="103"/>
                <w:sz w:val="29"/>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943" w:type="dxa"/>
          </w:tcPr>
          <w:p>
            <w:pPr>
              <w:pStyle w:val="9"/>
              <w:spacing w:before="43"/>
              <w:ind w:left="392" w:right="726"/>
              <w:jc w:val="center"/>
              <w:rPr>
                <w:sz w:val="29"/>
              </w:rPr>
            </w:pPr>
            <w:r>
              <w:rPr>
                <w:color w:val="5D5E60"/>
                <w:sz w:val="29"/>
              </w:rPr>
              <w:t>浙江树人大学杨汛桥校区</w:t>
            </w:r>
          </w:p>
        </w:tc>
        <w:tc>
          <w:tcPr>
            <w:tcW w:w="3514" w:type="dxa"/>
            <w:tcBorders>
              <w:right w:val="single" w:color="6B6B70" w:sz="6" w:space="0"/>
            </w:tcBorders>
          </w:tcPr>
          <w:p>
            <w:pPr>
              <w:pStyle w:val="9"/>
              <w:spacing w:before="118"/>
              <w:ind w:left="23"/>
              <w:jc w:val="center"/>
              <w:rPr>
                <w:rFonts w:ascii="Times New Roman"/>
                <w:sz w:val="29"/>
              </w:rPr>
            </w:pPr>
            <w:r>
              <w:rPr>
                <w:rFonts w:ascii="Times New Roman"/>
                <w:color w:val="4D4F50"/>
                <w:w w:val="107"/>
                <w:sz w:val="29"/>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943" w:type="dxa"/>
          </w:tcPr>
          <w:p>
            <w:pPr>
              <w:pStyle w:val="9"/>
              <w:spacing w:before="43"/>
              <w:ind w:left="392" w:right="739"/>
              <w:jc w:val="center"/>
              <w:rPr>
                <w:sz w:val="29"/>
              </w:rPr>
            </w:pPr>
            <w:r>
              <w:rPr>
                <w:color w:val="5D5E60"/>
                <w:sz w:val="29"/>
              </w:rPr>
              <w:t>浙江理工大学科技与艺术学院</w:t>
            </w:r>
          </w:p>
        </w:tc>
        <w:tc>
          <w:tcPr>
            <w:tcW w:w="3514" w:type="dxa"/>
            <w:tcBorders>
              <w:right w:val="single" w:color="6B6B70" w:sz="6" w:space="0"/>
            </w:tcBorders>
          </w:tcPr>
          <w:p>
            <w:pPr>
              <w:pStyle w:val="9"/>
              <w:spacing w:before="118"/>
              <w:ind w:left="16"/>
              <w:jc w:val="center"/>
              <w:rPr>
                <w:rFonts w:ascii="Times New Roman"/>
                <w:sz w:val="29"/>
              </w:rPr>
            </w:pPr>
            <w:r>
              <w:rPr>
                <w:rFonts w:ascii="Times New Roman"/>
                <w:color w:val="5D5E60"/>
                <w:w w:val="102"/>
                <w:sz w:val="29"/>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943" w:type="dxa"/>
          </w:tcPr>
          <w:p>
            <w:pPr>
              <w:pStyle w:val="9"/>
              <w:spacing w:before="45"/>
              <w:ind w:left="392" w:right="734"/>
              <w:jc w:val="center"/>
              <w:rPr>
                <w:sz w:val="29"/>
              </w:rPr>
            </w:pPr>
            <w:r>
              <w:rPr>
                <w:color w:val="5D5E60"/>
                <w:sz w:val="29"/>
              </w:rPr>
              <w:t>浙江工业职业技术学院</w:t>
            </w:r>
          </w:p>
        </w:tc>
        <w:tc>
          <w:tcPr>
            <w:tcW w:w="3514" w:type="dxa"/>
            <w:tcBorders>
              <w:right w:val="single" w:color="6B6B70" w:sz="6" w:space="0"/>
            </w:tcBorders>
          </w:tcPr>
          <w:p>
            <w:pPr>
              <w:pStyle w:val="9"/>
              <w:spacing w:before="127"/>
              <w:ind w:left="20"/>
              <w:jc w:val="center"/>
              <w:rPr>
                <w:rFonts w:ascii="Times New Roman"/>
                <w:sz w:val="29"/>
              </w:rPr>
            </w:pPr>
            <w:r>
              <w:rPr>
                <w:rFonts w:ascii="Times New Roman"/>
                <w:color w:val="4D4F50"/>
                <w:w w:val="103"/>
                <w:sz w:val="29"/>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943" w:type="dxa"/>
          </w:tcPr>
          <w:p>
            <w:pPr>
              <w:pStyle w:val="9"/>
              <w:spacing w:before="38"/>
              <w:ind w:left="392" w:right="714"/>
              <w:jc w:val="center"/>
              <w:rPr>
                <w:sz w:val="29"/>
              </w:rPr>
            </w:pPr>
            <w:r>
              <w:rPr>
                <w:color w:val="5D5E60"/>
                <w:sz w:val="29"/>
              </w:rPr>
              <w:t>绍兴职业技术学院</w:t>
            </w:r>
          </w:p>
        </w:tc>
        <w:tc>
          <w:tcPr>
            <w:tcW w:w="3514" w:type="dxa"/>
            <w:tcBorders>
              <w:right w:val="single" w:color="6B6B70" w:sz="6" w:space="0"/>
            </w:tcBorders>
          </w:tcPr>
          <w:p>
            <w:pPr>
              <w:pStyle w:val="9"/>
              <w:spacing w:before="120"/>
              <w:ind w:left="20"/>
              <w:jc w:val="center"/>
              <w:rPr>
                <w:rFonts w:ascii="Times New Roman"/>
                <w:sz w:val="29"/>
              </w:rPr>
            </w:pPr>
            <w:r>
              <w:rPr>
                <w:rFonts w:ascii="Times New Roman"/>
                <w:color w:val="4D4F50"/>
                <w:w w:val="103"/>
                <w:sz w:val="29"/>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943" w:type="dxa"/>
          </w:tcPr>
          <w:p>
            <w:pPr>
              <w:pStyle w:val="9"/>
              <w:spacing w:before="38"/>
              <w:ind w:left="392" w:right="734"/>
              <w:jc w:val="center"/>
              <w:rPr>
                <w:sz w:val="29"/>
              </w:rPr>
            </w:pPr>
            <w:r>
              <w:rPr>
                <w:color w:val="5D5E60"/>
                <w:sz w:val="29"/>
              </w:rPr>
              <w:t>浙江邮电职业技术学院</w:t>
            </w:r>
          </w:p>
        </w:tc>
        <w:tc>
          <w:tcPr>
            <w:tcW w:w="3514" w:type="dxa"/>
            <w:tcBorders>
              <w:right w:val="single" w:color="6B6B70" w:sz="6" w:space="0"/>
            </w:tcBorders>
          </w:tcPr>
          <w:p>
            <w:pPr>
              <w:pStyle w:val="9"/>
              <w:spacing w:before="120"/>
              <w:ind w:left="23"/>
              <w:jc w:val="center"/>
              <w:rPr>
                <w:rFonts w:ascii="Times New Roman"/>
                <w:sz w:val="29"/>
              </w:rPr>
            </w:pPr>
            <w:r>
              <w:rPr>
                <w:rFonts w:ascii="Times New Roman"/>
                <w:color w:val="4D4F50"/>
                <w:w w:val="107"/>
                <w:sz w:val="29"/>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4943" w:type="dxa"/>
          </w:tcPr>
          <w:p>
            <w:pPr>
              <w:pStyle w:val="9"/>
              <w:spacing w:before="38"/>
              <w:ind w:left="392" w:right="705"/>
              <w:jc w:val="center"/>
              <w:rPr>
                <w:sz w:val="29"/>
              </w:rPr>
            </w:pPr>
            <w:r>
              <w:rPr>
                <w:color w:val="5D5E60"/>
                <w:sz w:val="29"/>
              </w:rPr>
              <w:t>浙江农业商贸职业学院</w:t>
            </w:r>
          </w:p>
        </w:tc>
        <w:tc>
          <w:tcPr>
            <w:tcW w:w="3514" w:type="dxa"/>
            <w:tcBorders>
              <w:right w:val="single" w:color="6B6B70" w:sz="6" w:space="0"/>
            </w:tcBorders>
          </w:tcPr>
          <w:p>
            <w:pPr>
              <w:pStyle w:val="9"/>
              <w:spacing w:before="120"/>
              <w:ind w:left="30"/>
              <w:jc w:val="center"/>
              <w:rPr>
                <w:rFonts w:ascii="Times New Roman"/>
                <w:sz w:val="29"/>
              </w:rPr>
            </w:pPr>
            <w:r>
              <w:rPr>
                <w:rFonts w:ascii="Times New Roman"/>
                <w:color w:val="4D4F50"/>
                <w:w w:val="102"/>
                <w:sz w:val="29"/>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943" w:type="dxa"/>
            <w:tcBorders>
              <w:bottom w:val="single" w:color="707074" w:sz="6" w:space="0"/>
            </w:tcBorders>
          </w:tcPr>
          <w:p>
            <w:pPr>
              <w:pStyle w:val="9"/>
              <w:spacing w:before="23"/>
              <w:ind w:left="392" w:right="666"/>
              <w:jc w:val="center"/>
              <w:rPr>
                <w:sz w:val="32"/>
              </w:rPr>
            </w:pPr>
            <w:r>
              <w:rPr>
                <w:color w:val="5D5E60"/>
                <w:w w:val="90"/>
                <w:sz w:val="32"/>
              </w:rPr>
              <w:t>合计</w:t>
            </w:r>
          </w:p>
        </w:tc>
        <w:tc>
          <w:tcPr>
            <w:tcW w:w="3514" w:type="dxa"/>
            <w:tcBorders>
              <w:bottom w:val="single" w:color="707074" w:sz="6" w:space="0"/>
              <w:right w:val="single" w:color="6B6B70" w:sz="6" w:space="0"/>
            </w:tcBorders>
          </w:tcPr>
          <w:p>
            <w:pPr>
              <w:pStyle w:val="9"/>
              <w:spacing w:before="126"/>
              <w:ind w:left="1592" w:right="1569"/>
              <w:jc w:val="center"/>
              <w:rPr>
                <w:rFonts w:ascii="Times New Roman"/>
                <w:sz w:val="29"/>
              </w:rPr>
            </w:pPr>
            <w:r>
              <w:rPr>
                <w:rFonts w:ascii="Times New Roman"/>
                <w:color w:val="4D4F50"/>
                <w:w w:val="105"/>
                <w:sz w:val="29"/>
              </w:rPr>
              <w:t>32</w:t>
            </w:r>
          </w:p>
        </w:tc>
      </w:tr>
    </w:tbl>
    <w:p>
      <w:pPr>
        <w:pStyle w:val="4"/>
        <w:rPr>
          <w:sz w:val="6"/>
        </w:rPr>
      </w:pPr>
    </w:p>
    <w:p>
      <w:pPr>
        <w:spacing w:before="0" w:line="681" w:lineRule="exact"/>
        <w:ind w:left="0" w:right="610" w:firstLine="0"/>
        <w:jc w:val="right"/>
        <w:rPr>
          <w:rFonts w:ascii="Times New Roman" w:hAnsi="Times New Roman"/>
          <w:sz w:val="28"/>
        </w:rPr>
      </w:pPr>
      <w:r>
        <w:rPr>
          <w:color w:val="38383B"/>
          <w:w w:val="70"/>
          <w:sz w:val="58"/>
        </w:rPr>
        <w:t>—</w:t>
      </w:r>
      <w:r>
        <w:rPr>
          <w:color w:val="38383B"/>
          <w:spacing w:val="-154"/>
          <w:w w:val="70"/>
          <w:sz w:val="58"/>
        </w:rPr>
        <w:t xml:space="preserve"> </w:t>
      </w:r>
      <w:r>
        <w:rPr>
          <w:rFonts w:ascii="Times New Roman" w:hAnsi="Times New Roman"/>
          <w:color w:val="5D5E60"/>
          <w:w w:val="70"/>
          <w:sz w:val="28"/>
        </w:rPr>
        <w:t>3</w:t>
      </w:r>
    </w:p>
    <w:p>
      <w:pPr>
        <w:spacing w:after="0" w:line="681" w:lineRule="exact"/>
        <w:jc w:val="right"/>
        <w:rPr>
          <w:rFonts w:ascii="Times New Roman" w:hAnsi="Times New Roman"/>
          <w:sz w:val="28"/>
        </w:rPr>
        <w:sectPr>
          <w:pgSz w:w="12240" w:h="20160"/>
          <w:pgMar w:top="1700" w:right="1720" w:bottom="280" w:left="1680" w:header="720" w:footer="720" w:gutter="0"/>
        </w:sectPr>
      </w:pPr>
    </w:p>
    <w:p>
      <w:pPr>
        <w:pStyle w:val="4"/>
        <w:spacing w:line="331" w:lineRule="auto"/>
        <w:ind w:left="142" w:right="169" w:firstLine="604"/>
      </w:pPr>
      <w:r>
        <w:rPr>
          <w:rFonts w:ascii="Times New Roman" w:eastAsia="Times New Roman"/>
          <w:color w:val="4F5052"/>
        </w:rPr>
        <w:t xml:space="preserve">2018 </w:t>
      </w:r>
      <w:r>
        <w:rPr>
          <w:color w:val="4F5052"/>
          <w:spacing w:val="-15"/>
        </w:rPr>
        <w:t xml:space="preserve">年计 划立项 </w:t>
      </w:r>
      <w:r>
        <w:rPr>
          <w:rFonts w:ascii="Times New Roman" w:eastAsia="Times New Roman"/>
          <w:color w:val="4F5052"/>
        </w:rPr>
        <w:t xml:space="preserve">20 </w:t>
      </w:r>
      <w:r>
        <w:rPr>
          <w:color w:val="4F5052"/>
        </w:rPr>
        <w:t>项市级精品（</w:t>
      </w:r>
      <w:r>
        <w:rPr>
          <w:color w:val="4F5052"/>
          <w:spacing w:val="-12"/>
        </w:rPr>
        <w:t>在线开放</w:t>
      </w:r>
      <w:r>
        <w:rPr>
          <w:color w:val="4F5052"/>
        </w:rPr>
        <w:t>）</w:t>
      </w:r>
      <w:r>
        <w:rPr>
          <w:color w:val="4F5052"/>
          <w:spacing w:val="-1"/>
        </w:rPr>
        <w:t>课程。若有学校</w:t>
      </w:r>
      <w:r>
        <w:rPr>
          <w:color w:val="626466"/>
          <w:spacing w:val="-1"/>
        </w:rPr>
        <w:t>未申报足额，则按比例减少立项数量。</w:t>
      </w:r>
    </w:p>
    <w:p>
      <w:pPr>
        <w:pStyle w:val="2"/>
        <w:spacing w:before="36"/>
        <w:ind w:left="749"/>
      </w:pPr>
      <w:r>
        <w:rPr>
          <w:color w:val="3D3D3F"/>
          <w:w w:val="95"/>
        </w:rPr>
        <w:t>五、推荐办法及管理</w:t>
      </w:r>
    </w:p>
    <w:p>
      <w:pPr>
        <w:pStyle w:val="8"/>
        <w:numPr>
          <w:ilvl w:val="0"/>
          <w:numId w:val="2"/>
        </w:numPr>
        <w:tabs>
          <w:tab w:val="left" w:pos="1217"/>
          <w:tab w:val="left" w:pos="1218"/>
        </w:tabs>
        <w:spacing w:before="156" w:after="0" w:line="348" w:lineRule="auto"/>
        <w:ind w:left="141" w:right="105" w:firstLine="605"/>
        <w:jc w:val="left"/>
        <w:rPr>
          <w:rFonts w:ascii="Times New Roman" w:hAnsi="Times New Roman" w:eastAsia="Times New Roman"/>
          <w:color w:val="3D3D3F"/>
          <w:sz w:val="29"/>
        </w:rPr>
      </w:pPr>
      <w:r>
        <w:rPr>
          <w:color w:val="4F5052"/>
          <w:sz w:val="29"/>
        </w:rPr>
        <w:t xml:space="preserve">市级精品（在线开放）课程推荐工作采取学校申报（可单 </w:t>
      </w:r>
      <w:r>
        <w:rPr>
          <w:color w:val="626466"/>
          <w:spacing w:val="-15"/>
          <w:sz w:val="29"/>
        </w:rPr>
        <w:t xml:space="preserve">个或多个 学校联合申报 </w:t>
      </w:r>
      <w:r>
        <w:rPr>
          <w:color w:val="3D3D3F"/>
          <w:spacing w:val="-37"/>
          <w:w w:val="80"/>
          <w:sz w:val="29"/>
        </w:rPr>
        <w:t xml:space="preserve">， </w:t>
      </w:r>
      <w:r>
        <w:rPr>
          <w:color w:val="626466"/>
          <w:spacing w:val="-11"/>
          <w:sz w:val="29"/>
        </w:rPr>
        <w:t>联合申报的项目以 牵头学校 名义申报</w:t>
      </w:r>
      <w:r>
        <w:rPr>
          <w:color w:val="626466"/>
          <w:sz w:val="29"/>
        </w:rPr>
        <w:t>）、</w:t>
      </w:r>
      <w:r>
        <w:rPr>
          <w:color w:val="4F5052"/>
          <w:sz w:val="29"/>
        </w:rPr>
        <w:t xml:space="preserve">市教育局组织专家遴选的形式进行。各高校制订课程建设激励保   障措施，建立课程质量保证机制。各单位对所推荐的课程内容（文 字和影像等）应逐字、逐句、逐帧审核，课程资源不得存在任何   政治性、思想性、科学性和规范性问题以及侵犯知识产权、肖像   </w:t>
      </w:r>
      <w:r>
        <w:rPr>
          <w:color w:val="626466"/>
          <w:spacing w:val="10"/>
          <w:sz w:val="29"/>
        </w:rPr>
        <w:t>权的问题</w:t>
      </w:r>
      <w:r>
        <w:rPr>
          <w:color w:val="3D3D3F"/>
          <w:spacing w:val="-19"/>
          <w:w w:val="80"/>
          <w:sz w:val="29"/>
        </w:rPr>
        <w:t xml:space="preserve">， </w:t>
      </w:r>
      <w:r>
        <w:rPr>
          <w:color w:val="626466"/>
          <w:spacing w:val="-14"/>
          <w:sz w:val="29"/>
        </w:rPr>
        <w:t xml:space="preserve">坚决杜绝不适宜 网络传播的 资源上传 </w:t>
      </w:r>
      <w:r>
        <w:rPr>
          <w:color w:val="3D3D3F"/>
          <w:spacing w:val="-22"/>
          <w:w w:val="80"/>
          <w:sz w:val="29"/>
        </w:rPr>
        <w:t xml:space="preserve">， </w:t>
      </w:r>
      <w:r>
        <w:rPr>
          <w:color w:val="626466"/>
          <w:sz w:val="29"/>
        </w:rPr>
        <w:t xml:space="preserve">对存在上述问 </w:t>
      </w:r>
      <w:r>
        <w:rPr>
          <w:color w:val="626466"/>
          <w:spacing w:val="-15"/>
          <w:sz w:val="29"/>
        </w:rPr>
        <w:t xml:space="preserve">题的课程实行 </w:t>
      </w:r>
      <w:r>
        <w:rPr>
          <w:color w:val="626466"/>
          <w:spacing w:val="20"/>
          <w:w w:val="80"/>
          <w:sz w:val="29"/>
        </w:rPr>
        <w:t>”</w:t>
      </w:r>
      <w:r>
        <w:rPr>
          <w:color w:val="626466"/>
          <w:spacing w:val="-23"/>
          <w:sz w:val="29"/>
        </w:rPr>
        <w:t xml:space="preserve">一票否决 </w:t>
      </w:r>
      <w:r>
        <w:rPr>
          <w:color w:val="3D3D3F"/>
          <w:spacing w:val="-7"/>
          <w:w w:val="80"/>
          <w:sz w:val="29"/>
        </w:rPr>
        <w:t>”</w:t>
      </w:r>
      <w:r>
        <w:rPr>
          <w:color w:val="626466"/>
          <w:spacing w:val="40"/>
          <w:w w:val="80"/>
          <w:sz w:val="29"/>
        </w:rPr>
        <w:t>。</w:t>
      </w:r>
      <w:r>
        <w:rPr>
          <w:color w:val="626466"/>
          <w:spacing w:val="-11"/>
          <w:sz w:val="29"/>
        </w:rPr>
        <w:t>鼓励使用具有自主知识 产权的 音视频</w:t>
      </w:r>
      <w:r>
        <w:rPr>
          <w:color w:val="626466"/>
          <w:spacing w:val="-11"/>
          <w:w w:val="80"/>
          <w:sz w:val="29"/>
        </w:rPr>
        <w:t>资料。</w:t>
      </w:r>
    </w:p>
    <w:p>
      <w:pPr>
        <w:pStyle w:val="8"/>
        <w:numPr>
          <w:ilvl w:val="0"/>
          <w:numId w:val="2"/>
        </w:numPr>
        <w:tabs>
          <w:tab w:val="left" w:pos="1217"/>
          <w:tab w:val="left" w:pos="1218"/>
        </w:tabs>
        <w:spacing w:before="28" w:after="0" w:line="348" w:lineRule="auto"/>
        <w:ind w:left="129" w:right="332" w:firstLine="617"/>
        <w:jc w:val="left"/>
        <w:rPr>
          <w:rFonts w:ascii="Times New Roman" w:hAnsi="Times New Roman" w:eastAsia="Times New Roman"/>
          <w:color w:val="4F5052"/>
          <w:sz w:val="29"/>
        </w:rPr>
      </w:pPr>
      <w:r>
        <w:rPr>
          <w:color w:val="626466"/>
          <w:spacing w:val="-36"/>
          <w:sz w:val="29"/>
        </w:rPr>
        <w:t>市级精 品</w:t>
      </w:r>
      <w:r>
        <w:rPr>
          <w:color w:val="626466"/>
          <w:sz w:val="29"/>
        </w:rPr>
        <w:t>（</w:t>
      </w:r>
      <w:r>
        <w:rPr>
          <w:color w:val="626466"/>
          <w:spacing w:val="-11"/>
          <w:sz w:val="29"/>
        </w:rPr>
        <w:t>在线开放</w:t>
      </w:r>
      <w:r>
        <w:rPr>
          <w:color w:val="626466"/>
          <w:sz w:val="29"/>
        </w:rPr>
        <w:t>）</w:t>
      </w:r>
      <w:r>
        <w:rPr>
          <w:color w:val="626466"/>
          <w:spacing w:val="-15"/>
          <w:sz w:val="29"/>
        </w:rPr>
        <w:t>课程采用“ 三阶段评 价</w:t>
      </w:r>
      <w:r>
        <w:rPr>
          <w:color w:val="626466"/>
          <w:spacing w:val="-32"/>
          <w:w w:val="80"/>
          <w:sz w:val="29"/>
        </w:rPr>
        <w:t xml:space="preserve">” </w:t>
      </w:r>
      <w:r>
        <w:rPr>
          <w:color w:val="626466"/>
          <w:spacing w:val="10"/>
          <w:sz w:val="29"/>
        </w:rPr>
        <w:t>模式</w:t>
      </w:r>
      <w:r>
        <w:rPr>
          <w:color w:val="3D3D3F"/>
          <w:spacing w:val="-33"/>
          <w:w w:val="80"/>
          <w:sz w:val="29"/>
        </w:rPr>
        <w:t xml:space="preserve">： </w:t>
      </w:r>
      <w:r>
        <w:rPr>
          <w:color w:val="626466"/>
          <w:sz w:val="29"/>
        </w:rPr>
        <w:t>即</w:t>
      </w:r>
      <w:r>
        <w:rPr>
          <w:color w:val="626466"/>
          <w:spacing w:val="-5"/>
          <w:sz w:val="29"/>
        </w:rPr>
        <w:t>评审阶段的 资格评价</w:t>
      </w:r>
      <w:r>
        <w:rPr>
          <w:color w:val="3D3D3F"/>
          <w:spacing w:val="5"/>
          <w:sz w:val="29"/>
        </w:rPr>
        <w:t>、</w:t>
      </w:r>
      <w:r>
        <w:rPr>
          <w:color w:val="626466"/>
          <w:spacing w:val="-7"/>
          <w:sz w:val="29"/>
        </w:rPr>
        <w:t>应用 阶段的过程评价和 验收阶段的结果评</w:t>
      </w:r>
      <w:r>
        <w:rPr>
          <w:color w:val="4F5052"/>
          <w:spacing w:val="-7"/>
          <w:sz w:val="29"/>
        </w:rPr>
        <w:t xml:space="preserve">价。资格评价阶段，主要评价课程建设基础是否完备，课程定位、内容组织、教学方法、教学手段是否先进，课程基本资源是否完 </w:t>
      </w:r>
      <w:r>
        <w:rPr>
          <w:color w:val="626466"/>
          <w:spacing w:val="-7"/>
          <w:sz w:val="29"/>
        </w:rPr>
        <w:t>整</w:t>
      </w:r>
      <w:r>
        <w:rPr>
          <w:color w:val="3D3D3F"/>
          <w:spacing w:val="-33"/>
          <w:w w:val="80"/>
          <w:sz w:val="29"/>
        </w:rPr>
        <w:t xml:space="preserve">， </w:t>
      </w:r>
      <w:r>
        <w:rPr>
          <w:color w:val="626466"/>
          <w:spacing w:val="-14"/>
          <w:sz w:val="29"/>
        </w:rPr>
        <w:t xml:space="preserve">课程拓展 资源是否丰富 </w:t>
      </w:r>
      <w:r>
        <w:rPr>
          <w:color w:val="3D3D3F"/>
          <w:spacing w:val="-33"/>
          <w:w w:val="80"/>
          <w:sz w:val="29"/>
        </w:rPr>
        <w:t xml:space="preserve">， </w:t>
      </w:r>
      <w:r>
        <w:rPr>
          <w:color w:val="626466"/>
          <w:spacing w:val="-14"/>
          <w:sz w:val="29"/>
        </w:rPr>
        <w:t xml:space="preserve">以及课程特色是 否鲜明和 课程知识产权是否清晰。应用评价阶段，主要评价教学应用效果和课程资 </w:t>
      </w:r>
      <w:r>
        <w:rPr>
          <w:color w:val="626466"/>
          <w:spacing w:val="-19"/>
          <w:sz w:val="29"/>
        </w:rPr>
        <w:t>源的持续建设 与更新 情况</w:t>
      </w:r>
      <w:r>
        <w:rPr>
          <w:color w:val="3D3D3F"/>
          <w:spacing w:val="-35"/>
          <w:w w:val="80"/>
          <w:sz w:val="29"/>
        </w:rPr>
        <w:t xml:space="preserve">， </w:t>
      </w:r>
      <w:r>
        <w:rPr>
          <w:color w:val="626466"/>
          <w:spacing w:val="-9"/>
          <w:sz w:val="29"/>
        </w:rPr>
        <w:t>课程建设团队 要持续建设和不断更新</w:t>
      </w:r>
      <w:r>
        <w:rPr>
          <w:color w:val="626466"/>
          <w:spacing w:val="6"/>
          <w:sz w:val="29"/>
        </w:rPr>
        <w:t>课程资源</w:t>
      </w:r>
      <w:r>
        <w:rPr>
          <w:color w:val="3D3D3F"/>
          <w:spacing w:val="-33"/>
          <w:w w:val="80"/>
          <w:sz w:val="29"/>
        </w:rPr>
        <w:t xml:space="preserve">， </w:t>
      </w:r>
      <w:r>
        <w:rPr>
          <w:color w:val="626466"/>
          <w:spacing w:val="-23"/>
          <w:sz w:val="29"/>
        </w:rPr>
        <w:t xml:space="preserve">同时 与课程学 习者保 持有效的 沟通与交流 </w:t>
      </w:r>
      <w:r>
        <w:rPr>
          <w:color w:val="626466"/>
          <w:spacing w:val="-37"/>
          <w:w w:val="80"/>
          <w:sz w:val="29"/>
        </w:rPr>
        <w:t xml:space="preserve">， </w:t>
      </w:r>
      <w:r>
        <w:rPr>
          <w:color w:val="626466"/>
          <w:sz w:val="29"/>
        </w:rPr>
        <w:t>及时解答</w:t>
      </w:r>
      <w:r>
        <w:rPr>
          <w:color w:val="4F5052"/>
          <w:sz w:val="29"/>
        </w:rPr>
        <w:t xml:space="preserve">他们的学习问题与困难。验收评价阶段，主要从课程建设、课程 </w:t>
      </w:r>
      <w:r>
        <w:rPr>
          <w:color w:val="626466"/>
          <w:spacing w:val="-10"/>
          <w:sz w:val="29"/>
        </w:rPr>
        <w:t xml:space="preserve">改革、教师发展 </w:t>
      </w:r>
      <w:r>
        <w:rPr>
          <w:color w:val="3D3D3F"/>
          <w:spacing w:val="27"/>
          <w:sz w:val="29"/>
        </w:rPr>
        <w:t>、</w:t>
      </w:r>
      <w:r>
        <w:rPr>
          <w:color w:val="626466"/>
          <w:spacing w:val="-15"/>
          <w:sz w:val="29"/>
        </w:rPr>
        <w:t>学生发展和社 会发展 等多个 维度来评价课程的</w:t>
      </w:r>
      <w:r>
        <w:rPr>
          <w:color w:val="626466"/>
          <w:spacing w:val="-6"/>
          <w:sz w:val="29"/>
        </w:rPr>
        <w:t>建设效果</w:t>
      </w:r>
      <w:r>
        <w:rPr>
          <w:color w:val="3D3D3F"/>
          <w:spacing w:val="-45"/>
          <w:w w:val="80"/>
          <w:sz w:val="29"/>
        </w:rPr>
        <w:t xml:space="preserve">， </w:t>
      </w:r>
      <w:r>
        <w:rPr>
          <w:color w:val="626466"/>
          <w:spacing w:val="-15"/>
          <w:sz w:val="29"/>
        </w:rPr>
        <w:t>并要及时总结和广 泛交流 优秀的建设经验。</w:t>
      </w:r>
    </w:p>
    <w:p>
      <w:pPr>
        <w:pStyle w:val="8"/>
        <w:numPr>
          <w:ilvl w:val="0"/>
          <w:numId w:val="2"/>
        </w:numPr>
        <w:tabs>
          <w:tab w:val="left" w:pos="1198"/>
          <w:tab w:val="left" w:pos="1199"/>
        </w:tabs>
        <w:spacing w:before="42" w:after="0" w:line="240" w:lineRule="auto"/>
        <w:ind w:left="1198" w:right="0" w:hanging="471"/>
        <w:jc w:val="left"/>
        <w:rPr>
          <w:rFonts w:ascii="Times New Roman" w:eastAsia="Times New Roman"/>
          <w:color w:val="4F5052"/>
          <w:sz w:val="29"/>
        </w:rPr>
      </w:pPr>
      <w:r>
        <w:rPr>
          <w:color w:val="626466"/>
          <w:sz w:val="29"/>
        </w:rPr>
        <w:t>对遴选入围的课程给予市级精品（在线开放）课程建设项</w:t>
      </w:r>
    </w:p>
    <w:p>
      <w:pPr>
        <w:pStyle w:val="4"/>
        <w:spacing w:before="12"/>
        <w:rPr>
          <w:sz w:val="38"/>
        </w:rPr>
      </w:pPr>
    </w:p>
    <w:p>
      <w:pPr>
        <w:spacing w:before="1"/>
        <w:ind w:left="101" w:right="0" w:firstLine="0"/>
        <w:jc w:val="left"/>
        <w:rPr>
          <w:rFonts w:ascii="Times New Roman" w:eastAsia="Times New Roman"/>
          <w:sz w:val="26"/>
        </w:rPr>
      </w:pPr>
      <w:r>
        <w:rPr>
          <w:color w:val="626466"/>
          <w:w w:val="110"/>
          <w:sz w:val="28"/>
        </w:rPr>
        <w:t xml:space="preserve">一 </w:t>
      </w:r>
      <w:r>
        <w:rPr>
          <w:rFonts w:ascii="Times New Roman" w:eastAsia="Times New Roman"/>
          <w:color w:val="626466"/>
          <w:w w:val="110"/>
          <w:sz w:val="26"/>
        </w:rPr>
        <w:t>4</w:t>
      </w:r>
    </w:p>
    <w:p>
      <w:pPr>
        <w:spacing w:after="0"/>
        <w:jc w:val="left"/>
        <w:rPr>
          <w:rFonts w:ascii="Times New Roman" w:eastAsia="Times New Roman"/>
          <w:sz w:val="26"/>
        </w:rPr>
        <w:sectPr>
          <w:pgSz w:w="12240" w:h="20160"/>
          <w:pgMar w:top="1720" w:right="1560" w:bottom="280" w:left="1680" w:header="720" w:footer="720" w:gutter="0"/>
        </w:sectPr>
      </w:pPr>
    </w:p>
    <w:p>
      <w:pPr>
        <w:pStyle w:val="4"/>
        <w:spacing w:line="363" w:lineRule="exact"/>
        <w:ind w:left="122" w:firstLine="3"/>
        <w:jc w:val="both"/>
      </w:pPr>
      <w:r>
        <w:rPr>
          <w:color w:val="49494B"/>
        </w:rPr>
        <w:t>目立项，并给予一定的建设补助经费。立项课程建设周期为两年，</w:t>
      </w:r>
    </w:p>
    <w:p>
      <w:pPr>
        <w:pStyle w:val="4"/>
        <w:spacing w:before="176" w:line="352" w:lineRule="auto"/>
        <w:ind w:left="125" w:right="225" w:hanging="3"/>
        <w:jc w:val="both"/>
      </w:pPr>
      <w:r>
        <w:rPr>
          <w:color w:val="5E6062"/>
        </w:rPr>
        <w:t>各高校应高度重视市级精品（在线开放）课程的过程建设，切实加大和保障对精品（在线开放）课程的经费投入，并在课程建成后持</w:t>
      </w:r>
      <w:r>
        <w:rPr>
          <w:color w:val="5E6062"/>
          <w:w w:val="105"/>
        </w:rPr>
        <w:t>续开展更新维护。市教育局将视上一批建设进展情况作为下一批资金安排和拨付的依据，并通过上网监管、使用评价、年度检查</w:t>
      </w:r>
      <w:r>
        <w:rPr>
          <w:color w:val="5E6062"/>
        </w:rPr>
        <w:t>等方式对市级精品（在线开放）课程的实际应用情况进行跟踪监测</w:t>
      </w:r>
      <w:r>
        <w:rPr>
          <w:color w:val="5E6062"/>
          <w:w w:val="105"/>
        </w:rPr>
        <w:t>和综合评价，监督和管理课程的运行、维护和更新。通过专家评</w:t>
      </w:r>
      <w:r>
        <w:rPr>
          <w:color w:val="49494B"/>
        </w:rPr>
        <w:t xml:space="preserve">估，对使用效益好、师生评价高的课程授予市级精品（在线开放） </w:t>
      </w:r>
      <w:r>
        <w:rPr>
          <w:color w:val="5E6062"/>
          <w:w w:val="105"/>
        </w:rPr>
        <w:t>课程荣誉称号，给予追加补助，并优先推荐参加省级精品在线开</w:t>
      </w:r>
      <w:r>
        <w:rPr>
          <w:color w:val="5E6062"/>
          <w:w w:val="90"/>
        </w:rPr>
        <w:t>放课程认定。</w:t>
      </w:r>
    </w:p>
    <w:p>
      <w:pPr>
        <w:pStyle w:val="2"/>
        <w:spacing w:before="9"/>
        <w:ind w:left="738"/>
      </w:pPr>
      <w:r>
        <w:rPr>
          <w:color w:val="49494B"/>
          <w:w w:val="95"/>
        </w:rPr>
        <w:t>六、推荐程序和时间</w:t>
      </w:r>
    </w:p>
    <w:p>
      <w:pPr>
        <w:pStyle w:val="4"/>
        <w:spacing w:before="158" w:line="350" w:lineRule="auto"/>
        <w:ind w:left="116" w:right="194" w:firstLine="624"/>
      </w:pPr>
      <w:r>
        <w:rPr>
          <w:color w:val="5E6062"/>
        </w:rPr>
        <w:t xml:space="preserve">市级精品（在线开放）课程推荐采取“线下推荐＋线上申报” </w:t>
      </w:r>
      <w:r>
        <w:rPr>
          <w:color w:val="5E6062"/>
          <w:w w:val="95"/>
        </w:rPr>
        <w:t>的方式进行。</w:t>
      </w:r>
    </w:p>
    <w:p>
      <w:pPr>
        <w:spacing w:before="11" w:line="324" w:lineRule="auto"/>
        <w:ind w:left="115" w:right="107" w:firstLine="622"/>
        <w:jc w:val="both"/>
        <w:rPr>
          <w:sz w:val="29"/>
        </w:rPr>
      </w:pPr>
      <w:r>
        <w:rPr>
          <w:color w:val="5E6062"/>
          <w:spacing w:val="-1"/>
          <w:sz w:val="29"/>
        </w:rPr>
        <w:t xml:space="preserve">各高校于 </w:t>
      </w:r>
      <w:r>
        <w:rPr>
          <w:rFonts w:ascii="Times New Roman" w:eastAsia="Times New Roman"/>
          <w:color w:val="5E6062"/>
          <w:sz w:val="30"/>
        </w:rPr>
        <w:t>2018</w:t>
      </w:r>
      <w:r>
        <w:rPr>
          <w:rFonts w:ascii="Times New Roman" w:eastAsia="Times New Roman"/>
          <w:color w:val="5E6062"/>
          <w:spacing w:val="10"/>
          <w:sz w:val="30"/>
        </w:rPr>
        <w:t xml:space="preserve"> </w:t>
      </w:r>
      <w:r>
        <w:rPr>
          <w:color w:val="5E6062"/>
          <w:spacing w:val="-37"/>
          <w:sz w:val="29"/>
        </w:rPr>
        <w:t xml:space="preserve">年 </w:t>
      </w:r>
      <w:r>
        <w:rPr>
          <w:rFonts w:ascii="Times New Roman" w:eastAsia="Times New Roman"/>
          <w:color w:val="38383B"/>
          <w:sz w:val="30"/>
        </w:rPr>
        <w:t>10</w:t>
      </w:r>
      <w:r>
        <w:rPr>
          <w:rFonts w:ascii="Times New Roman" w:eastAsia="Times New Roman"/>
          <w:color w:val="38383B"/>
          <w:spacing w:val="22"/>
          <w:sz w:val="30"/>
        </w:rPr>
        <w:t xml:space="preserve"> </w:t>
      </w:r>
      <w:r>
        <w:rPr>
          <w:color w:val="5E6062"/>
          <w:spacing w:val="-28"/>
          <w:sz w:val="31"/>
        </w:rPr>
        <w:t xml:space="preserve">月 </w:t>
      </w:r>
      <w:r>
        <w:rPr>
          <w:rFonts w:ascii="Times New Roman" w:eastAsia="Times New Roman"/>
          <w:color w:val="5E6062"/>
          <w:sz w:val="30"/>
        </w:rPr>
        <w:t>30</w:t>
      </w:r>
      <w:r>
        <w:rPr>
          <w:rFonts w:ascii="Times New Roman" w:eastAsia="Times New Roman"/>
          <w:color w:val="5E6062"/>
          <w:spacing w:val="55"/>
          <w:sz w:val="30"/>
        </w:rPr>
        <w:t xml:space="preserve"> </w:t>
      </w:r>
      <w:r>
        <w:rPr>
          <w:color w:val="5E6062"/>
          <w:spacing w:val="-9"/>
          <w:sz w:val="29"/>
        </w:rPr>
        <w:t>日前 将《市级精品</w:t>
      </w:r>
      <w:r>
        <w:rPr>
          <w:color w:val="5E6062"/>
          <w:sz w:val="29"/>
        </w:rPr>
        <w:t>（</w:t>
      </w:r>
      <w:r>
        <w:rPr>
          <w:color w:val="5E6062"/>
          <w:spacing w:val="-9"/>
          <w:sz w:val="29"/>
        </w:rPr>
        <w:t>在线开放</w:t>
      </w:r>
      <w:r>
        <w:rPr>
          <w:color w:val="5E6062"/>
          <w:sz w:val="29"/>
        </w:rPr>
        <w:t>）课</w:t>
      </w:r>
      <w:r>
        <w:rPr>
          <w:color w:val="5E6062"/>
          <w:spacing w:val="-17"/>
          <w:sz w:val="29"/>
        </w:rPr>
        <w:t>程申报 书》</w:t>
      </w:r>
      <w:r>
        <w:rPr>
          <w:color w:val="5E6062"/>
          <w:sz w:val="29"/>
        </w:rPr>
        <w:t>（</w:t>
      </w:r>
      <w:r>
        <w:rPr>
          <w:color w:val="5E6062"/>
          <w:spacing w:val="-12"/>
          <w:sz w:val="29"/>
        </w:rPr>
        <w:t xml:space="preserve">见附件 </w:t>
      </w:r>
      <w:r>
        <w:rPr>
          <w:rFonts w:ascii="Times New Roman" w:eastAsia="Times New Roman"/>
          <w:color w:val="5E6062"/>
          <w:sz w:val="28"/>
        </w:rPr>
        <w:t>2</w:t>
      </w:r>
      <w:r>
        <w:rPr>
          <w:rFonts w:ascii="Times New Roman" w:eastAsia="Times New Roman"/>
          <w:color w:val="5E6062"/>
          <w:spacing w:val="-3"/>
          <w:sz w:val="28"/>
        </w:rPr>
        <w:t xml:space="preserve"> ) </w:t>
      </w:r>
      <w:r>
        <w:rPr>
          <w:color w:val="5E6062"/>
          <w:spacing w:val="-14"/>
          <w:sz w:val="29"/>
        </w:rPr>
        <w:t>及其他需要说明的实 证材料 通过绍兴 高等</w:t>
      </w:r>
      <w:r>
        <w:rPr>
          <w:color w:val="5E6062"/>
          <w:spacing w:val="-22"/>
          <w:sz w:val="29"/>
        </w:rPr>
        <w:t xml:space="preserve">教育 </w:t>
      </w:r>
      <w:r>
        <w:rPr>
          <w:rFonts w:ascii="Times New Roman" w:eastAsia="Times New Roman"/>
          <w:color w:val="5E6062"/>
          <w:spacing w:val="-19"/>
          <w:sz w:val="30"/>
        </w:rPr>
        <w:t xml:space="preserve">( </w:t>
      </w:r>
      <w:r>
        <w:rPr>
          <w:rFonts w:ascii="Times New Roman" w:eastAsia="Times New Roman"/>
          <w:color w:val="38383B"/>
          <w:sz w:val="30"/>
        </w:rPr>
        <w:t>ht</w:t>
      </w:r>
      <w:r>
        <w:rPr>
          <w:rFonts w:ascii="Times New Roman" w:eastAsia="Times New Roman"/>
          <w:color w:val="38383B"/>
          <w:spacing w:val="1"/>
          <w:sz w:val="30"/>
        </w:rPr>
        <w:t xml:space="preserve"> </w:t>
      </w:r>
      <w:r>
        <w:rPr>
          <w:rFonts w:ascii="Times New Roman" w:eastAsia="Times New Roman"/>
          <w:color w:val="38383B"/>
          <w:sz w:val="30"/>
        </w:rPr>
        <w:t>t</w:t>
      </w:r>
      <w:r>
        <w:rPr>
          <w:rFonts w:ascii="Times New Roman" w:eastAsia="Times New Roman"/>
          <w:color w:val="38383B"/>
          <w:spacing w:val="-20"/>
          <w:sz w:val="30"/>
        </w:rPr>
        <w:t xml:space="preserve"> </w:t>
      </w:r>
      <w:r>
        <w:rPr>
          <w:rFonts w:ascii="Times New Roman" w:eastAsia="Times New Roman"/>
          <w:color w:val="38383B"/>
          <w:sz w:val="30"/>
        </w:rPr>
        <w:t>p:</w:t>
      </w:r>
      <w:r>
        <w:rPr>
          <w:rFonts w:ascii="Times New Roman" w:eastAsia="Times New Roman"/>
          <w:color w:val="38383B"/>
          <w:spacing w:val="-3"/>
          <w:sz w:val="30"/>
        </w:rPr>
        <w:t xml:space="preserve"> </w:t>
      </w:r>
      <w:r>
        <w:rPr>
          <w:rFonts w:ascii="Times New Roman" w:eastAsia="Times New Roman"/>
          <w:color w:val="5E6062"/>
          <w:sz w:val="30"/>
        </w:rPr>
        <w:t>/</w:t>
      </w:r>
      <w:r>
        <w:rPr>
          <w:rFonts w:ascii="Times New Roman" w:eastAsia="Times New Roman"/>
          <w:color w:val="5E6062"/>
          <w:spacing w:val="-10"/>
          <w:sz w:val="30"/>
        </w:rPr>
        <w:t xml:space="preserve"> </w:t>
      </w:r>
      <w:r>
        <w:rPr>
          <w:rFonts w:ascii="Times New Roman" w:eastAsia="Times New Roman"/>
          <w:color w:val="5E6062"/>
          <w:sz w:val="30"/>
        </w:rPr>
        <w:t>/</w:t>
      </w:r>
      <w:r>
        <w:rPr>
          <w:rFonts w:ascii="Times New Roman" w:eastAsia="Times New Roman"/>
          <w:color w:val="5E6062"/>
          <w:spacing w:val="-14"/>
          <w:sz w:val="30"/>
        </w:rPr>
        <w:t xml:space="preserve"> </w:t>
      </w:r>
      <w:r>
        <w:rPr>
          <w:rFonts w:ascii="Times New Roman" w:eastAsia="Times New Roman"/>
          <w:color w:val="5E6062"/>
          <w:sz w:val="30"/>
        </w:rPr>
        <w:t>gd</w:t>
      </w:r>
      <w:r>
        <w:rPr>
          <w:rFonts w:ascii="Times New Roman" w:eastAsia="Times New Roman"/>
          <w:color w:val="5E6062"/>
          <w:spacing w:val="-44"/>
          <w:sz w:val="30"/>
        </w:rPr>
        <w:t xml:space="preserve"> </w:t>
      </w:r>
      <w:r>
        <w:rPr>
          <w:rFonts w:ascii="Times New Roman" w:eastAsia="Times New Roman"/>
          <w:color w:val="5E6062"/>
          <w:sz w:val="30"/>
        </w:rPr>
        <w:t>j</w:t>
      </w:r>
      <w:r>
        <w:rPr>
          <w:rFonts w:ascii="Times New Roman" w:eastAsia="Times New Roman"/>
          <w:color w:val="5E6062"/>
          <w:spacing w:val="-47"/>
          <w:sz w:val="30"/>
        </w:rPr>
        <w:t xml:space="preserve"> </w:t>
      </w:r>
      <w:r>
        <w:rPr>
          <w:rFonts w:ascii="Times New Roman" w:eastAsia="Times New Roman"/>
          <w:color w:val="5E6062"/>
          <w:sz w:val="30"/>
        </w:rPr>
        <w:t>y.</w:t>
      </w:r>
      <w:r>
        <w:rPr>
          <w:rFonts w:ascii="Times New Roman" w:eastAsia="Times New Roman"/>
          <w:color w:val="5E6062"/>
          <w:spacing w:val="20"/>
          <w:sz w:val="30"/>
        </w:rPr>
        <w:t xml:space="preserve"> </w:t>
      </w:r>
      <w:r>
        <w:rPr>
          <w:rFonts w:ascii="Times New Roman" w:eastAsia="Times New Roman"/>
          <w:color w:val="5E6062"/>
          <w:sz w:val="30"/>
        </w:rPr>
        <w:t>s</w:t>
      </w:r>
      <w:r>
        <w:rPr>
          <w:rFonts w:ascii="Times New Roman" w:eastAsia="Times New Roman"/>
          <w:color w:val="5E6062"/>
          <w:spacing w:val="-37"/>
          <w:sz w:val="30"/>
        </w:rPr>
        <w:t xml:space="preserve"> </w:t>
      </w:r>
      <w:r>
        <w:rPr>
          <w:rFonts w:ascii="Times New Roman" w:eastAsia="Times New Roman"/>
          <w:color w:val="5E6062"/>
          <w:sz w:val="30"/>
        </w:rPr>
        <w:t>xs</w:t>
      </w:r>
      <w:r>
        <w:rPr>
          <w:rFonts w:ascii="Times New Roman" w:eastAsia="Times New Roman"/>
          <w:color w:val="5E6062"/>
          <w:spacing w:val="-32"/>
          <w:sz w:val="30"/>
        </w:rPr>
        <w:t xml:space="preserve"> </w:t>
      </w:r>
      <w:r>
        <w:rPr>
          <w:rFonts w:ascii="Times New Roman" w:eastAsia="Times New Roman"/>
          <w:color w:val="5E6062"/>
          <w:sz w:val="30"/>
        </w:rPr>
        <w:t>e</w:t>
      </w:r>
      <w:r>
        <w:rPr>
          <w:rFonts w:ascii="Times New Roman" w:eastAsia="Times New Roman"/>
          <w:color w:val="38383B"/>
          <w:sz w:val="30"/>
        </w:rPr>
        <w:t>du</w:t>
      </w:r>
      <w:r>
        <w:rPr>
          <w:rFonts w:ascii="Times New Roman" w:eastAsia="Times New Roman"/>
          <w:color w:val="5E6062"/>
          <w:spacing w:val="5"/>
          <w:sz w:val="30"/>
        </w:rPr>
        <w:t xml:space="preserve">. </w:t>
      </w:r>
      <w:r>
        <w:rPr>
          <w:rFonts w:ascii="Times New Roman" w:eastAsia="Times New Roman"/>
          <w:color w:val="5E6062"/>
          <w:sz w:val="30"/>
        </w:rPr>
        <w:t>ne</w:t>
      </w:r>
      <w:r>
        <w:rPr>
          <w:rFonts w:ascii="Times New Roman" w:eastAsia="Times New Roman"/>
          <w:color w:val="5E6062"/>
          <w:spacing w:val="-41"/>
          <w:sz w:val="30"/>
        </w:rPr>
        <w:t xml:space="preserve"> </w:t>
      </w:r>
      <w:r>
        <w:rPr>
          <w:rFonts w:ascii="Times New Roman" w:eastAsia="Times New Roman"/>
          <w:color w:val="5E6062"/>
          <w:sz w:val="30"/>
        </w:rPr>
        <w:t>t</w:t>
      </w:r>
      <w:r>
        <w:rPr>
          <w:rFonts w:ascii="Times New Roman" w:eastAsia="Times New Roman"/>
          <w:color w:val="5E6062"/>
          <w:spacing w:val="-18"/>
          <w:sz w:val="30"/>
        </w:rPr>
        <w:t xml:space="preserve"> </w:t>
      </w:r>
      <w:r>
        <w:rPr>
          <w:rFonts w:ascii="Times New Roman" w:eastAsia="Times New Roman"/>
          <w:color w:val="5E6062"/>
          <w:sz w:val="30"/>
        </w:rPr>
        <w:t>/</w:t>
      </w:r>
      <w:r>
        <w:rPr>
          <w:rFonts w:ascii="Times New Roman" w:eastAsia="Times New Roman"/>
          <w:color w:val="5E6062"/>
          <w:spacing w:val="20"/>
          <w:sz w:val="30"/>
        </w:rPr>
        <w:t xml:space="preserve"> ) </w:t>
      </w:r>
      <w:r>
        <w:rPr>
          <w:color w:val="5E6062"/>
          <w:spacing w:val="-15"/>
          <w:sz w:val="29"/>
        </w:rPr>
        <w:t>的网上平 台完成在 线申报， 并</w:t>
      </w:r>
      <w:r>
        <w:rPr>
          <w:color w:val="49494B"/>
          <w:spacing w:val="-61"/>
          <w:sz w:val="31"/>
        </w:rPr>
        <w:t xml:space="preserve">把 </w:t>
      </w:r>
      <w:r>
        <w:rPr>
          <w:rFonts w:ascii="Times New Roman" w:eastAsia="Times New Roman"/>
          <w:color w:val="49494B"/>
          <w:sz w:val="30"/>
        </w:rPr>
        <w:t>3</w:t>
      </w:r>
      <w:r>
        <w:rPr>
          <w:rFonts w:ascii="Times New Roman" w:eastAsia="Times New Roman"/>
          <w:color w:val="49494B"/>
          <w:spacing w:val="-20"/>
          <w:sz w:val="30"/>
        </w:rPr>
        <w:t xml:space="preserve"> </w:t>
      </w:r>
      <w:r>
        <w:rPr>
          <w:color w:val="49494B"/>
          <w:spacing w:val="-1"/>
          <w:sz w:val="29"/>
        </w:rPr>
        <w:t>讲有代表性的 视频资源上传</w:t>
      </w:r>
      <w:r>
        <w:rPr>
          <w:color w:val="49494B"/>
          <w:sz w:val="29"/>
        </w:rPr>
        <w:t>（</w:t>
      </w:r>
      <w:r>
        <w:rPr>
          <w:color w:val="49494B"/>
          <w:spacing w:val="-5"/>
          <w:sz w:val="29"/>
        </w:rPr>
        <w:t>在线申报工作联 系人</w:t>
      </w:r>
      <w:r>
        <w:rPr>
          <w:color w:val="49494B"/>
          <w:spacing w:val="-50"/>
          <w:w w:val="85"/>
          <w:sz w:val="29"/>
        </w:rPr>
        <w:t xml:space="preserve">： </w:t>
      </w:r>
      <w:r>
        <w:rPr>
          <w:color w:val="49494B"/>
          <w:spacing w:val="6"/>
          <w:sz w:val="29"/>
        </w:rPr>
        <w:t xml:space="preserve">韩雪飞， </w:t>
      </w:r>
      <w:r>
        <w:rPr>
          <w:color w:val="5E6062"/>
          <w:spacing w:val="7"/>
          <w:sz w:val="29"/>
        </w:rPr>
        <w:t>电话</w:t>
      </w:r>
      <w:r>
        <w:rPr>
          <w:color w:val="38383B"/>
          <w:spacing w:val="-33"/>
          <w:w w:val="85"/>
          <w:sz w:val="29"/>
        </w:rPr>
        <w:t xml:space="preserve">： </w:t>
      </w:r>
      <w:r>
        <w:rPr>
          <w:rFonts w:ascii="Times New Roman" w:eastAsia="Times New Roman"/>
          <w:color w:val="49494B"/>
          <w:sz w:val="30"/>
        </w:rPr>
        <w:t>0575-88050833,</w:t>
      </w:r>
      <w:r>
        <w:rPr>
          <w:rFonts w:ascii="Times New Roman" w:eastAsia="Times New Roman"/>
          <w:color w:val="49494B"/>
          <w:spacing w:val="0"/>
          <w:sz w:val="30"/>
        </w:rPr>
        <w:t xml:space="preserve">  </w:t>
      </w:r>
      <w:r>
        <w:rPr>
          <w:rFonts w:ascii="Times New Roman" w:eastAsia="Times New Roman"/>
          <w:color w:val="38383B"/>
          <w:spacing w:val="-6"/>
          <w:sz w:val="30"/>
        </w:rPr>
        <w:t>1</w:t>
      </w:r>
      <w:r>
        <w:rPr>
          <w:rFonts w:ascii="Times New Roman" w:eastAsia="Times New Roman"/>
          <w:color w:val="5E6062"/>
          <w:spacing w:val="-6"/>
          <w:sz w:val="30"/>
        </w:rPr>
        <w:t>3385851799</w:t>
      </w:r>
      <w:r>
        <w:rPr>
          <w:rFonts w:ascii="Times New Roman" w:eastAsia="Times New Roman"/>
          <w:color w:val="5E6062"/>
          <w:spacing w:val="5"/>
          <w:sz w:val="30"/>
        </w:rPr>
        <w:t xml:space="preserve">,  </w:t>
      </w:r>
      <w:r>
        <w:rPr>
          <w:color w:val="5E6062"/>
          <w:spacing w:val="15"/>
          <w:sz w:val="29"/>
        </w:rPr>
        <w:t>邮箱</w:t>
      </w:r>
      <w:r>
        <w:rPr>
          <w:color w:val="38383B"/>
          <w:spacing w:val="7"/>
          <w:w w:val="85"/>
          <w:sz w:val="29"/>
        </w:rPr>
        <w:t xml:space="preserve">： </w:t>
      </w:r>
      <w:r>
        <w:rPr>
          <w:rFonts w:ascii="Times New Roman" w:eastAsia="Times New Roman"/>
          <w:color w:val="5E6062"/>
          <w:w w:val="85"/>
          <w:sz w:val="30"/>
        </w:rPr>
        <w:t>3</w:t>
      </w:r>
      <w:r>
        <w:rPr>
          <w:rFonts w:ascii="Times New Roman" w:eastAsia="Times New Roman"/>
          <w:color w:val="5E6062"/>
          <w:spacing w:val="-27"/>
          <w:w w:val="85"/>
          <w:sz w:val="30"/>
        </w:rPr>
        <w:t xml:space="preserve"> </w:t>
      </w:r>
      <w:r>
        <w:rPr>
          <w:rFonts w:ascii="Times New Roman" w:eastAsia="Times New Roman"/>
          <w:color w:val="5E6062"/>
          <w:spacing w:val="-6"/>
          <w:sz w:val="30"/>
        </w:rPr>
        <w:t>76</w:t>
      </w:r>
      <w:r>
        <w:rPr>
          <w:rFonts w:ascii="Times New Roman" w:eastAsia="Times New Roman"/>
          <w:color w:val="38383B"/>
          <w:spacing w:val="-6"/>
          <w:sz w:val="30"/>
        </w:rPr>
        <w:t>1111</w:t>
      </w:r>
      <w:r>
        <w:rPr>
          <w:rFonts w:ascii="Times New Roman" w:eastAsia="Times New Roman"/>
          <w:color w:val="5E6062"/>
          <w:spacing w:val="-6"/>
          <w:sz w:val="30"/>
        </w:rPr>
        <w:t>6@qq</w:t>
      </w:r>
      <w:r>
        <w:rPr>
          <w:rFonts w:ascii="Times New Roman" w:eastAsia="Times New Roman"/>
          <w:color w:val="38383B"/>
          <w:sz w:val="30"/>
        </w:rPr>
        <w:t xml:space="preserve">. </w:t>
      </w:r>
      <w:r>
        <w:rPr>
          <w:rFonts w:ascii="Times New Roman" w:eastAsia="Times New Roman"/>
          <w:color w:val="5E6062"/>
          <w:spacing w:val="1"/>
          <w:sz w:val="30"/>
        </w:rPr>
        <w:t>com)</w:t>
      </w:r>
      <w:r>
        <w:rPr>
          <w:color w:val="5E6062"/>
          <w:sz w:val="29"/>
        </w:rPr>
        <w:t>。</w:t>
      </w:r>
    </w:p>
    <w:p>
      <w:pPr>
        <w:pStyle w:val="4"/>
        <w:spacing w:before="12" w:line="340" w:lineRule="auto"/>
        <w:ind w:left="113" w:right="256" w:firstLine="8"/>
        <w:jc w:val="both"/>
      </w:pPr>
      <w:r>
        <w:rPr>
          <w:color w:val="5E6062"/>
          <w:spacing w:val="-8"/>
        </w:rPr>
        <w:t>请各校将《市级 精品</w:t>
      </w:r>
      <w:r>
        <w:rPr>
          <w:color w:val="5E6062"/>
        </w:rPr>
        <w:t>（</w:t>
      </w:r>
      <w:r>
        <w:rPr>
          <w:color w:val="5E6062"/>
          <w:spacing w:val="-11"/>
        </w:rPr>
        <w:t>在线开放</w:t>
      </w:r>
      <w:r>
        <w:rPr>
          <w:color w:val="5E6062"/>
        </w:rPr>
        <w:t>）</w:t>
      </w:r>
      <w:r>
        <w:rPr>
          <w:color w:val="5E6062"/>
          <w:spacing w:val="-8"/>
        </w:rPr>
        <w:t>课程推荐 汇总表》</w:t>
      </w:r>
      <w:r>
        <w:rPr>
          <w:color w:val="5E6062"/>
        </w:rPr>
        <w:t>（</w:t>
      </w:r>
      <w:r>
        <w:rPr>
          <w:color w:val="5E6062"/>
          <w:spacing w:val="-44"/>
        </w:rPr>
        <w:t xml:space="preserve">见附件 </w:t>
      </w:r>
      <w:r>
        <w:rPr>
          <w:rFonts w:ascii="Times New Roman" w:eastAsia="Times New Roman"/>
          <w:color w:val="5E6062"/>
          <w:sz w:val="27"/>
        </w:rPr>
        <w:t>3</w:t>
      </w:r>
      <w:r>
        <w:rPr>
          <w:rFonts w:ascii="Times New Roman" w:eastAsia="Times New Roman"/>
          <w:color w:val="5E6062"/>
          <w:spacing w:val="0"/>
          <w:sz w:val="27"/>
        </w:rPr>
        <w:t xml:space="preserve"> ) </w:t>
      </w:r>
      <w:r>
        <w:rPr>
          <w:color w:val="5E6062"/>
          <w:sz w:val="31"/>
        </w:rPr>
        <w:t>纸</w:t>
      </w:r>
      <w:r>
        <w:rPr>
          <w:color w:val="5E6062"/>
        </w:rPr>
        <w:t>质稿（</w:t>
      </w:r>
      <w:r>
        <w:rPr>
          <w:color w:val="5E6062"/>
          <w:spacing w:val="-13"/>
        </w:rPr>
        <w:t xml:space="preserve">加盖学校公章 </w:t>
      </w:r>
      <w:r>
        <w:rPr>
          <w:color w:val="5E6062"/>
        </w:rPr>
        <w:t>）</w:t>
      </w:r>
      <w:r>
        <w:rPr>
          <w:color w:val="5E6062"/>
          <w:spacing w:val="-8"/>
        </w:rPr>
        <w:t>交至绍兴 市教育局高教处。联系人</w:t>
      </w:r>
      <w:r>
        <w:rPr>
          <w:color w:val="38383B"/>
          <w:spacing w:val="-38"/>
          <w:w w:val="90"/>
        </w:rPr>
        <w:t xml:space="preserve">： </w:t>
      </w:r>
      <w:r>
        <w:rPr>
          <w:color w:val="5E6062"/>
          <w:spacing w:val="5"/>
        </w:rPr>
        <w:t>任怡</w:t>
      </w:r>
      <w:r>
        <w:rPr>
          <w:color w:val="5E6062"/>
          <w:w w:val="90"/>
        </w:rPr>
        <w:t xml:space="preserve">， </w:t>
      </w:r>
      <w:r>
        <w:rPr>
          <w:color w:val="49494B"/>
          <w:spacing w:val="-4"/>
          <w:w w:val="95"/>
        </w:rPr>
        <w:t xml:space="preserve">电话： </w:t>
      </w:r>
      <w:r>
        <w:rPr>
          <w:rFonts w:ascii="Times New Roman" w:eastAsia="Times New Roman"/>
          <w:color w:val="49494B"/>
          <w:w w:val="95"/>
          <w:sz w:val="30"/>
        </w:rPr>
        <w:t>85 200217</w:t>
      </w:r>
      <w:r>
        <w:rPr>
          <w:rFonts w:ascii="Times New Roman" w:eastAsia="Times New Roman"/>
          <w:color w:val="49494B"/>
          <w:spacing w:val="-54"/>
          <w:w w:val="95"/>
          <w:sz w:val="30"/>
        </w:rPr>
        <w:t xml:space="preserve"> </w:t>
      </w:r>
      <w:r>
        <w:rPr>
          <w:color w:val="49494B"/>
          <w:w w:val="95"/>
        </w:rPr>
        <w:t>。</w:t>
      </w:r>
    </w:p>
    <w:p>
      <w:pPr>
        <w:pStyle w:val="4"/>
        <w:spacing w:before="12"/>
        <w:ind w:left="734"/>
        <w:rPr>
          <w:rFonts w:ascii="Times New Roman" w:eastAsia="Times New Roman"/>
          <w:sz w:val="30"/>
        </w:rPr>
      </w:pPr>
      <w:r>
        <w:rPr>
          <w:color w:val="5E6062"/>
        </w:rPr>
        <w:t xml:space="preserve">市教育局组织专家对 学校推荐的课程进行评审后，公布 </w:t>
      </w:r>
      <w:r>
        <w:rPr>
          <w:rFonts w:ascii="Times New Roman" w:eastAsia="Times New Roman"/>
          <w:color w:val="5E6062"/>
          <w:sz w:val="30"/>
        </w:rPr>
        <w:t>2018</w:t>
      </w:r>
    </w:p>
    <w:p>
      <w:pPr>
        <w:pStyle w:val="4"/>
        <w:spacing w:before="151"/>
        <w:ind w:left="125"/>
        <w:jc w:val="both"/>
      </w:pPr>
      <w:r>
        <w:rPr>
          <w:color w:val="5E6062"/>
          <w:w w:val="95"/>
        </w:rPr>
        <w:t>年市级精品（在线开放）课程建设项目立项名单。</w:t>
      </w:r>
    </w:p>
    <w:p>
      <w:pPr>
        <w:pStyle w:val="4"/>
        <w:rPr>
          <w:sz w:val="28"/>
        </w:rPr>
      </w:pPr>
    </w:p>
    <w:p>
      <w:pPr>
        <w:pStyle w:val="4"/>
        <w:spacing w:before="9"/>
        <w:rPr>
          <w:sz w:val="35"/>
        </w:rPr>
      </w:pPr>
    </w:p>
    <w:p>
      <w:pPr>
        <w:spacing w:before="0"/>
        <w:ind w:left="0" w:right="869" w:firstLine="0"/>
        <w:jc w:val="right"/>
        <w:rPr>
          <w:rFonts w:ascii="Times New Roman" w:hAnsi="Times New Roman"/>
          <w:sz w:val="26"/>
        </w:rPr>
      </w:pPr>
      <w:r>
        <w:rPr>
          <w:color w:val="49494B"/>
          <w:w w:val="60"/>
          <w:sz w:val="58"/>
        </w:rPr>
        <w:t>—</w:t>
      </w:r>
      <w:r>
        <w:rPr>
          <w:color w:val="49494B"/>
          <w:spacing w:val="-134"/>
          <w:w w:val="60"/>
          <w:sz w:val="58"/>
        </w:rPr>
        <w:t xml:space="preserve"> </w:t>
      </w:r>
      <w:r>
        <w:rPr>
          <w:rFonts w:ascii="Times New Roman" w:hAnsi="Times New Roman"/>
          <w:color w:val="49494B"/>
          <w:w w:val="60"/>
          <w:sz w:val="26"/>
        </w:rPr>
        <w:t>5</w:t>
      </w:r>
    </w:p>
    <w:p>
      <w:pPr>
        <w:spacing w:after="0"/>
        <w:jc w:val="right"/>
        <w:rPr>
          <w:rFonts w:ascii="Times New Roman" w:hAnsi="Times New Roman"/>
          <w:sz w:val="26"/>
        </w:rPr>
        <w:sectPr>
          <w:pgSz w:w="12240" w:h="20160"/>
          <w:pgMar w:top="1700" w:right="1580" w:bottom="280" w:left="1640" w:header="720" w:footer="720" w:gutter="0"/>
        </w:sectPr>
      </w:pPr>
    </w:p>
    <w:p>
      <w:pPr>
        <w:pStyle w:val="2"/>
        <w:spacing w:before="0" w:line="422" w:lineRule="exact"/>
        <w:ind w:left="926"/>
      </w:pPr>
      <w:r>
        <w:rPr>
          <w:color w:val="59595B"/>
          <w:w w:val="90"/>
          <w:sz w:val="30"/>
        </w:rPr>
        <w:t xml:space="preserve">附件： </w:t>
      </w:r>
      <w:r>
        <w:rPr>
          <w:rFonts w:ascii="Times New Roman" w:eastAsia="Times New Roman"/>
          <w:color w:val="424244"/>
          <w:w w:val="90"/>
        </w:rPr>
        <w:t xml:space="preserve">1. </w:t>
      </w:r>
      <w:r>
        <w:rPr>
          <w:color w:val="59595B"/>
          <w:w w:val="90"/>
        </w:rPr>
        <w:t>市级精品（在线开放）课程建设标准（试行）</w:t>
      </w:r>
    </w:p>
    <w:p>
      <w:pPr>
        <w:pStyle w:val="8"/>
        <w:numPr>
          <w:ilvl w:val="1"/>
          <w:numId w:val="2"/>
        </w:numPr>
        <w:tabs>
          <w:tab w:val="left" w:pos="2166"/>
        </w:tabs>
        <w:spacing w:before="147" w:after="0" w:line="240" w:lineRule="auto"/>
        <w:ind w:left="2158" w:right="0" w:hanging="308"/>
        <w:jc w:val="left"/>
        <w:rPr>
          <w:rFonts w:ascii="Times New Roman" w:eastAsia="Times New Roman"/>
          <w:color w:val="424244"/>
          <w:sz w:val="32"/>
        </w:rPr>
      </w:pPr>
      <w:r>
        <w:rPr>
          <w:color w:val="59595B"/>
          <w:w w:val="90"/>
          <w:sz w:val="31"/>
        </w:rPr>
        <w:t>市级精品（在线开放）课程申报书</w:t>
      </w:r>
    </w:p>
    <w:p>
      <w:pPr>
        <w:pStyle w:val="8"/>
        <w:numPr>
          <w:ilvl w:val="1"/>
          <w:numId w:val="2"/>
        </w:numPr>
        <w:tabs>
          <w:tab w:val="left" w:pos="2173"/>
        </w:tabs>
        <w:spacing w:before="145" w:after="0" w:line="240" w:lineRule="auto"/>
        <w:ind w:left="2172" w:right="0" w:hanging="313"/>
        <w:jc w:val="left"/>
        <w:rPr>
          <w:rFonts w:ascii="Times New Roman" w:eastAsia="Times New Roman"/>
          <w:color w:val="59595B"/>
          <w:sz w:val="30"/>
        </w:rPr>
      </w:pPr>
      <w:r>
        <w:rPr>
          <w:color w:val="59595B"/>
          <w:w w:val="90"/>
          <w:sz w:val="31"/>
        </w:rPr>
        <w:t>市级精品（在线开放）课程推荐汇总表</w:t>
      </w:r>
    </w:p>
    <w:p>
      <w:pPr>
        <w:pStyle w:val="8"/>
        <w:numPr>
          <w:ilvl w:val="1"/>
          <w:numId w:val="2"/>
        </w:numPr>
        <w:tabs>
          <w:tab w:val="left" w:pos="2177"/>
        </w:tabs>
        <w:spacing w:before="150" w:after="0" w:line="324" w:lineRule="auto"/>
        <w:ind w:left="2158" w:right="602" w:hanging="299"/>
        <w:jc w:val="left"/>
        <w:rPr>
          <w:rFonts w:ascii="Times New Roman" w:eastAsia="Times New Roman"/>
          <w:color w:val="59595B"/>
          <w:sz w:val="32"/>
        </w:rPr>
      </w:pPr>
      <w:r>
        <w:rPr>
          <w:color w:val="59595B"/>
          <w:w w:val="95"/>
          <w:sz w:val="31"/>
        </w:rPr>
        <w:t>绍兴市普通高校精品（在线开放）课程建设评估指</w:t>
      </w:r>
      <w:r>
        <w:rPr>
          <w:color w:val="59595B"/>
          <w:w w:val="90"/>
          <w:sz w:val="31"/>
        </w:rPr>
        <w:t>标体系（试行）</w:t>
      </w:r>
    </w:p>
    <w:p>
      <w:pPr>
        <w:pStyle w:val="4"/>
        <w:rPr>
          <w:sz w:val="22"/>
        </w:rPr>
      </w:pPr>
      <w:r>
        <w:drawing>
          <wp:anchor distT="0" distB="0" distL="0" distR="0" simplePos="0" relativeHeight="2048" behindDoc="0" locked="0" layoutInCell="1" allowOverlap="1">
            <wp:simplePos x="0" y="0"/>
            <wp:positionH relativeFrom="page">
              <wp:posOffset>5029200</wp:posOffset>
            </wp:positionH>
            <wp:positionV relativeFrom="paragraph">
              <wp:posOffset>207645</wp:posOffset>
            </wp:positionV>
            <wp:extent cx="1490345" cy="86868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4" cstate="print"/>
                    <a:stretch>
                      <a:fillRect/>
                    </a:stretch>
                  </pic:blipFill>
                  <pic:spPr>
                    <a:xfrm>
                      <a:off x="0" y="0"/>
                      <a:ext cx="1490472" cy="868679"/>
                    </a:xfrm>
                    <a:prstGeom prst="rect">
                      <a:avLst/>
                    </a:prstGeom>
                  </pic:spPr>
                </pic:pic>
              </a:graphicData>
            </a:graphic>
          </wp:anchor>
        </w:drawing>
      </w:r>
    </w:p>
    <w:p>
      <w:pPr>
        <w:spacing w:before="61"/>
        <w:ind w:left="0" w:right="612" w:firstLine="0"/>
        <w:jc w:val="right"/>
        <w:rPr>
          <w:sz w:val="27"/>
        </w:rPr>
      </w:pPr>
      <w:r>
        <w:rPr>
          <w:rFonts w:ascii="Times New Roman" w:eastAsia="Times New Roman"/>
          <w:color w:val="59595B"/>
          <w:w w:val="105"/>
          <w:sz w:val="30"/>
        </w:rPr>
        <w:t xml:space="preserve">2018 </w:t>
      </w:r>
      <w:r>
        <w:rPr>
          <w:color w:val="59595B"/>
          <w:spacing w:val="-43"/>
          <w:w w:val="105"/>
          <w:sz w:val="28"/>
        </w:rPr>
        <w:t xml:space="preserve">年 </w:t>
      </w:r>
      <w:r>
        <w:rPr>
          <w:rFonts w:ascii="Times New Roman" w:eastAsia="Times New Roman"/>
          <w:color w:val="59595B"/>
          <w:w w:val="105"/>
          <w:sz w:val="30"/>
        </w:rPr>
        <w:t xml:space="preserve">8 </w:t>
      </w:r>
      <w:r>
        <w:rPr>
          <w:color w:val="59595B"/>
          <w:spacing w:val="-46"/>
          <w:w w:val="105"/>
          <w:sz w:val="31"/>
        </w:rPr>
        <w:t xml:space="preserve">月 </w:t>
      </w:r>
      <w:r>
        <w:rPr>
          <w:rFonts w:ascii="Times New Roman" w:eastAsia="Times New Roman"/>
          <w:color w:val="59595B"/>
          <w:w w:val="105"/>
          <w:sz w:val="30"/>
        </w:rPr>
        <w:t xml:space="preserve">31 </w:t>
      </w:r>
      <w:r>
        <w:rPr>
          <w:color w:val="59595B"/>
          <w:w w:val="105"/>
          <w:sz w:val="27"/>
        </w:rPr>
        <w:t>日</w:t>
      </w:r>
    </w:p>
    <w:p>
      <w:pPr>
        <w:pStyle w:val="4"/>
        <w:spacing w:before="2"/>
        <w:rPr>
          <w:sz w:val="20"/>
        </w:rPr>
      </w:pPr>
      <w:r>
        <w:drawing>
          <wp:anchor distT="0" distB="0" distL="0" distR="0" simplePos="0" relativeHeight="2048" behindDoc="0" locked="0" layoutInCell="1" allowOverlap="1">
            <wp:simplePos x="0" y="0"/>
            <wp:positionH relativeFrom="page">
              <wp:posOffset>5431155</wp:posOffset>
            </wp:positionH>
            <wp:positionV relativeFrom="paragraph">
              <wp:posOffset>192405</wp:posOffset>
            </wp:positionV>
            <wp:extent cx="676910" cy="10033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5" cstate="print"/>
                    <a:stretch>
                      <a:fillRect/>
                    </a:stretch>
                  </pic:blipFill>
                  <pic:spPr>
                    <a:xfrm>
                      <a:off x="0" y="0"/>
                      <a:ext cx="676656" cy="100583"/>
                    </a:xfrm>
                    <a:prstGeom prst="rect">
                      <a:avLst/>
                    </a:prstGeom>
                  </pic:spPr>
                </pic:pic>
              </a:graphicData>
            </a:graphic>
          </wp:anchor>
        </w:drawing>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12"/>
        <w:rPr>
          <w:sz w:val="14"/>
        </w:rPr>
      </w:pPr>
      <w:r>
        <w:pict>
          <v:line id="_x0000_s1027" o:spid="_x0000_s1027" o:spt="20" style="position:absolute;left:0pt;margin-left:79.05pt;margin-top:12.2pt;height:0pt;width:450.65pt;mso-position-horizontal-relative:page;mso-wrap-distance-bottom:0pt;mso-wrap-distance-top:0pt;z-index:2048;mso-width-relative:page;mso-height-relative:page;" stroked="t" coordsize="21600,21600">
            <v:path arrowok="t"/>
            <v:fill focussize="0,0"/>
            <v:stroke weight="1.04976377952756pt" color="#575B60"/>
            <v:imagedata o:title=""/>
            <o:lock v:ext="edit"/>
            <w10:wrap type="topAndBottom"/>
          </v:line>
        </w:pict>
      </w:r>
    </w:p>
    <w:p>
      <w:pPr>
        <w:tabs>
          <w:tab w:val="left" w:pos="6281"/>
        </w:tabs>
        <w:spacing w:before="0" w:after="31"/>
        <w:ind w:left="232" w:right="0" w:firstLine="0"/>
        <w:jc w:val="left"/>
        <w:rPr>
          <w:sz w:val="27"/>
        </w:rPr>
      </w:pPr>
      <w:r>
        <w:rPr>
          <w:color w:val="59595B"/>
          <w:spacing w:val="-12"/>
          <w:sz w:val="27"/>
        </w:rPr>
        <w:t>绍</w:t>
      </w:r>
      <w:r>
        <w:rPr>
          <w:color w:val="707275"/>
          <w:spacing w:val="-4"/>
          <w:sz w:val="27"/>
        </w:rPr>
        <w:t>兴</w:t>
      </w:r>
      <w:r>
        <w:rPr>
          <w:color w:val="59595B"/>
          <w:spacing w:val="-18"/>
          <w:sz w:val="27"/>
        </w:rPr>
        <w:t>市</w:t>
      </w:r>
      <w:r>
        <w:rPr>
          <w:color w:val="707275"/>
          <w:sz w:val="27"/>
        </w:rPr>
        <w:t>教育局办公室</w:t>
      </w:r>
      <w:r>
        <w:rPr>
          <w:color w:val="707275"/>
          <w:sz w:val="27"/>
        </w:rPr>
        <w:tab/>
      </w:r>
      <w:r>
        <w:rPr>
          <w:rFonts w:ascii="Times New Roman" w:eastAsia="Times New Roman"/>
          <w:color w:val="59595B"/>
          <w:sz w:val="27"/>
        </w:rPr>
        <w:t>2018</w:t>
      </w:r>
      <w:r>
        <w:rPr>
          <w:rFonts w:ascii="Times New Roman" w:eastAsia="Times New Roman"/>
          <w:color w:val="59595B"/>
          <w:spacing w:val="-35"/>
          <w:sz w:val="27"/>
        </w:rPr>
        <w:t xml:space="preserve"> </w:t>
      </w:r>
      <w:r>
        <w:rPr>
          <w:color w:val="707275"/>
          <w:sz w:val="27"/>
        </w:rPr>
        <w:t>年</w:t>
      </w:r>
      <w:r>
        <w:rPr>
          <w:color w:val="707275"/>
          <w:spacing w:val="-98"/>
          <w:sz w:val="27"/>
        </w:rPr>
        <w:t xml:space="preserve"> </w:t>
      </w:r>
      <w:r>
        <w:rPr>
          <w:rFonts w:ascii="Times New Roman" w:eastAsia="Times New Roman"/>
          <w:color w:val="59595B"/>
          <w:sz w:val="27"/>
        </w:rPr>
        <w:t>8</w:t>
      </w:r>
      <w:r>
        <w:rPr>
          <w:rFonts w:ascii="Times New Roman" w:eastAsia="Times New Roman"/>
          <w:color w:val="59595B"/>
          <w:spacing w:val="-6"/>
          <w:sz w:val="27"/>
        </w:rPr>
        <w:t xml:space="preserve"> </w:t>
      </w:r>
      <w:r>
        <w:rPr>
          <w:color w:val="707275"/>
          <w:sz w:val="28"/>
        </w:rPr>
        <w:t>月</w:t>
      </w:r>
      <w:r>
        <w:rPr>
          <w:color w:val="707275"/>
          <w:spacing w:val="-82"/>
          <w:sz w:val="28"/>
        </w:rPr>
        <w:t xml:space="preserve"> </w:t>
      </w:r>
      <w:r>
        <w:rPr>
          <w:rFonts w:ascii="Times New Roman" w:eastAsia="Times New Roman"/>
          <w:color w:val="59595B"/>
          <w:sz w:val="27"/>
        </w:rPr>
        <w:t>31</w:t>
      </w:r>
      <w:r>
        <w:rPr>
          <w:rFonts w:ascii="Times New Roman" w:eastAsia="Times New Roman"/>
          <w:color w:val="59595B"/>
          <w:spacing w:val="2"/>
          <w:sz w:val="27"/>
        </w:rPr>
        <w:t xml:space="preserve"> </w:t>
      </w:r>
      <w:r>
        <w:rPr>
          <w:color w:val="707275"/>
          <w:sz w:val="27"/>
        </w:rPr>
        <w:t>日印发</w:t>
      </w:r>
    </w:p>
    <w:p>
      <w:pPr>
        <w:pStyle w:val="4"/>
        <w:spacing w:line="21" w:lineRule="exact"/>
        <w:ind w:left="111"/>
        <w:rPr>
          <w:sz w:val="2"/>
        </w:rPr>
      </w:pPr>
      <w:r>
        <w:rPr>
          <w:sz w:val="2"/>
        </w:rPr>
        <w:pict>
          <v:group id="_x0000_s1028" o:spid="_x0000_s1028" o:spt="203" style="height:1.05pt;width:451.75pt;" coordsize="9035,21">
            <o:lock v:ext="edit"/>
            <v:line id="_x0000_s1029" o:spid="_x0000_s1029" o:spt="20" style="position:absolute;left:10;top:10;height:0;width:9014;" stroked="t" coordsize="21600,21600">
              <v:path arrowok="t"/>
              <v:fill focussize="0,0"/>
              <v:stroke weight="1.04976377952756pt" color="#54575B"/>
              <v:imagedata o:title=""/>
              <o:lock v:ext="edit"/>
            </v:line>
            <w10:wrap type="none"/>
            <w10:anchorlock/>
          </v:group>
        </w:pict>
      </w:r>
    </w:p>
    <w:p>
      <w:pPr>
        <w:pStyle w:val="4"/>
        <w:rPr>
          <w:sz w:val="30"/>
        </w:rPr>
      </w:pPr>
    </w:p>
    <w:p>
      <w:pPr>
        <w:spacing w:before="245"/>
        <w:ind w:left="302" w:right="0" w:firstLine="0"/>
        <w:jc w:val="left"/>
        <w:rPr>
          <w:rFonts w:ascii="Times New Roman" w:eastAsia="Times New Roman"/>
          <w:sz w:val="29"/>
        </w:rPr>
      </w:pPr>
      <w:r>
        <w:rPr>
          <w:color w:val="59595B"/>
          <w:sz w:val="28"/>
        </w:rPr>
        <w:t xml:space="preserve">一 </w:t>
      </w:r>
      <w:r>
        <w:rPr>
          <w:rFonts w:ascii="Times New Roman" w:eastAsia="Times New Roman"/>
          <w:color w:val="59595B"/>
          <w:sz w:val="29"/>
        </w:rPr>
        <w:t>6</w:t>
      </w:r>
    </w:p>
    <w:p>
      <w:pPr>
        <w:spacing w:after="0"/>
        <w:jc w:val="left"/>
        <w:rPr>
          <w:rFonts w:ascii="Times New Roman" w:eastAsia="Times New Roman"/>
          <w:sz w:val="29"/>
        </w:rPr>
        <w:sectPr>
          <w:pgSz w:w="12240" w:h="20160"/>
          <w:pgMar w:top="1660" w:right="1520" w:bottom="280" w:left="1460" w:header="720" w:footer="720" w:gutter="0"/>
        </w:sectPr>
      </w:pPr>
    </w:p>
    <w:p>
      <w:pPr>
        <w:pStyle w:val="4"/>
        <w:rPr>
          <w:rFonts w:ascii="Times New Roman"/>
          <w:sz w:val="20"/>
        </w:rPr>
      </w:pPr>
    </w:p>
    <w:p>
      <w:pPr>
        <w:tabs>
          <w:tab w:val="left" w:pos="1285"/>
          <w:tab w:val="left" w:pos="3229"/>
        </w:tabs>
        <w:spacing w:before="0" w:line="199" w:lineRule="auto"/>
        <w:ind w:left="160" w:right="619" w:hanging="2"/>
        <w:jc w:val="left"/>
        <w:rPr>
          <w:sz w:val="19"/>
        </w:rPr>
      </w:pPr>
      <w:bookmarkStart w:id="0" w:name="_GoBack"/>
      <w:bookmarkEnd w:id="0"/>
    </w:p>
    <w:sectPr>
      <w:type w:val="continuous"/>
      <w:pgSz w:w="12240" w:h="20160"/>
      <w:pgMar w:top="1940" w:right="800" w:bottom="280" w:left="1100" w:header="720" w:footer="720" w:gutter="0"/>
      <w:cols w:equalWidth="0" w:num="2">
        <w:col w:w="837" w:space="40"/>
        <w:col w:w="946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95D4F"/>
    <w:multiLevelType w:val="multilevel"/>
    <w:tmpl w:val="91995D4F"/>
    <w:lvl w:ilvl="0" w:tentative="0">
      <w:start w:val="1"/>
      <w:numFmt w:val="decimal"/>
      <w:lvlText w:val="%1."/>
      <w:lvlJc w:val="left"/>
      <w:pPr>
        <w:ind w:left="141" w:hanging="471"/>
        <w:jc w:val="left"/>
      </w:pPr>
      <w:rPr>
        <w:rFonts w:hint="default"/>
        <w:w w:val="108"/>
      </w:rPr>
    </w:lvl>
    <w:lvl w:ilvl="1" w:tentative="0">
      <w:start w:val="2"/>
      <w:numFmt w:val="decimal"/>
      <w:lvlText w:val="%2."/>
      <w:lvlJc w:val="left"/>
      <w:pPr>
        <w:ind w:left="2158" w:hanging="316"/>
        <w:jc w:val="left"/>
      </w:pPr>
      <w:rPr>
        <w:rFonts w:hint="default"/>
        <w:w w:val="94"/>
      </w:rPr>
    </w:lvl>
    <w:lvl w:ilvl="2" w:tentative="0">
      <w:start w:val="0"/>
      <w:numFmt w:val="bullet"/>
      <w:lvlText w:val="•"/>
      <w:lvlJc w:val="left"/>
      <w:pPr>
        <w:ind w:left="2920" w:hanging="316"/>
      </w:pPr>
      <w:rPr>
        <w:rFonts w:hint="default"/>
      </w:rPr>
    </w:lvl>
    <w:lvl w:ilvl="3" w:tentative="0">
      <w:start w:val="0"/>
      <w:numFmt w:val="bullet"/>
      <w:lvlText w:val="•"/>
      <w:lvlJc w:val="left"/>
      <w:pPr>
        <w:ind w:left="3680" w:hanging="316"/>
      </w:pPr>
      <w:rPr>
        <w:rFonts w:hint="default"/>
      </w:rPr>
    </w:lvl>
    <w:lvl w:ilvl="4" w:tentative="0">
      <w:start w:val="0"/>
      <w:numFmt w:val="bullet"/>
      <w:lvlText w:val="•"/>
      <w:lvlJc w:val="left"/>
      <w:pPr>
        <w:ind w:left="4440" w:hanging="316"/>
      </w:pPr>
      <w:rPr>
        <w:rFonts w:hint="default"/>
      </w:rPr>
    </w:lvl>
    <w:lvl w:ilvl="5" w:tentative="0">
      <w:start w:val="0"/>
      <w:numFmt w:val="bullet"/>
      <w:lvlText w:val="•"/>
      <w:lvlJc w:val="left"/>
      <w:pPr>
        <w:ind w:left="5200" w:hanging="316"/>
      </w:pPr>
      <w:rPr>
        <w:rFonts w:hint="default"/>
      </w:rPr>
    </w:lvl>
    <w:lvl w:ilvl="6" w:tentative="0">
      <w:start w:val="0"/>
      <w:numFmt w:val="bullet"/>
      <w:lvlText w:val="•"/>
      <w:lvlJc w:val="left"/>
      <w:pPr>
        <w:ind w:left="5960" w:hanging="316"/>
      </w:pPr>
      <w:rPr>
        <w:rFonts w:hint="default"/>
      </w:rPr>
    </w:lvl>
    <w:lvl w:ilvl="7" w:tentative="0">
      <w:start w:val="0"/>
      <w:numFmt w:val="bullet"/>
      <w:lvlText w:val="•"/>
      <w:lvlJc w:val="left"/>
      <w:pPr>
        <w:ind w:left="6720" w:hanging="316"/>
      </w:pPr>
      <w:rPr>
        <w:rFonts w:hint="default"/>
      </w:rPr>
    </w:lvl>
    <w:lvl w:ilvl="8" w:tentative="0">
      <w:start w:val="0"/>
      <w:numFmt w:val="bullet"/>
      <w:lvlText w:val="•"/>
      <w:lvlJc w:val="left"/>
      <w:pPr>
        <w:ind w:left="7480" w:hanging="316"/>
      </w:pPr>
      <w:rPr>
        <w:rFonts w:hint="default"/>
      </w:rPr>
    </w:lvl>
  </w:abstractNum>
  <w:abstractNum w:abstractNumId="1">
    <w:nsid w:val="BB64CFA9"/>
    <w:multiLevelType w:val="multilevel"/>
    <w:tmpl w:val="BB64CFA9"/>
    <w:lvl w:ilvl="0" w:tentative="0">
      <w:start w:val="1"/>
      <w:numFmt w:val="decimal"/>
      <w:lvlText w:val="%1."/>
      <w:lvlJc w:val="left"/>
      <w:pPr>
        <w:ind w:left="1164" w:hanging="467"/>
        <w:jc w:val="left"/>
      </w:pPr>
      <w:rPr>
        <w:rFonts w:hint="default"/>
        <w:w w:val="109"/>
      </w:rPr>
    </w:lvl>
    <w:lvl w:ilvl="1" w:tentative="0">
      <w:start w:val="0"/>
      <w:numFmt w:val="bullet"/>
      <w:lvlText w:val="•"/>
      <w:lvlJc w:val="left"/>
      <w:pPr>
        <w:ind w:left="1928" w:hanging="467"/>
      </w:pPr>
      <w:rPr>
        <w:rFonts w:hint="default"/>
      </w:rPr>
    </w:lvl>
    <w:lvl w:ilvl="2" w:tentative="0">
      <w:start w:val="0"/>
      <w:numFmt w:val="bullet"/>
      <w:lvlText w:val="•"/>
      <w:lvlJc w:val="left"/>
      <w:pPr>
        <w:ind w:left="2696" w:hanging="467"/>
      </w:pPr>
      <w:rPr>
        <w:rFonts w:hint="default"/>
      </w:rPr>
    </w:lvl>
    <w:lvl w:ilvl="3" w:tentative="0">
      <w:start w:val="0"/>
      <w:numFmt w:val="bullet"/>
      <w:lvlText w:val="•"/>
      <w:lvlJc w:val="left"/>
      <w:pPr>
        <w:ind w:left="3464" w:hanging="467"/>
      </w:pPr>
      <w:rPr>
        <w:rFonts w:hint="default"/>
      </w:rPr>
    </w:lvl>
    <w:lvl w:ilvl="4" w:tentative="0">
      <w:start w:val="0"/>
      <w:numFmt w:val="bullet"/>
      <w:lvlText w:val="•"/>
      <w:lvlJc w:val="left"/>
      <w:pPr>
        <w:ind w:left="4232" w:hanging="467"/>
      </w:pPr>
      <w:rPr>
        <w:rFonts w:hint="default"/>
      </w:rPr>
    </w:lvl>
    <w:lvl w:ilvl="5" w:tentative="0">
      <w:start w:val="0"/>
      <w:numFmt w:val="bullet"/>
      <w:lvlText w:val="•"/>
      <w:lvlJc w:val="left"/>
      <w:pPr>
        <w:ind w:left="5000" w:hanging="467"/>
      </w:pPr>
      <w:rPr>
        <w:rFonts w:hint="default"/>
      </w:rPr>
    </w:lvl>
    <w:lvl w:ilvl="6" w:tentative="0">
      <w:start w:val="0"/>
      <w:numFmt w:val="bullet"/>
      <w:lvlText w:val="•"/>
      <w:lvlJc w:val="left"/>
      <w:pPr>
        <w:ind w:left="5768" w:hanging="467"/>
      </w:pPr>
      <w:rPr>
        <w:rFonts w:hint="default"/>
      </w:rPr>
    </w:lvl>
    <w:lvl w:ilvl="7" w:tentative="0">
      <w:start w:val="0"/>
      <w:numFmt w:val="bullet"/>
      <w:lvlText w:val="•"/>
      <w:lvlJc w:val="left"/>
      <w:pPr>
        <w:ind w:left="6536" w:hanging="467"/>
      </w:pPr>
      <w:rPr>
        <w:rFonts w:hint="default"/>
      </w:rPr>
    </w:lvl>
    <w:lvl w:ilvl="8" w:tentative="0">
      <w:start w:val="0"/>
      <w:numFmt w:val="bullet"/>
      <w:lvlText w:val="•"/>
      <w:lvlJc w:val="left"/>
      <w:pPr>
        <w:ind w:left="7304" w:hanging="467"/>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000000"/>
    <w:rsid w:val="20133B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145"/>
      <w:ind w:left="2158"/>
      <w:outlineLvl w:val="1"/>
    </w:pPr>
    <w:rPr>
      <w:rFonts w:ascii="宋体" w:hAnsi="宋体" w:eastAsia="宋体" w:cs="宋体"/>
      <w:sz w:val="31"/>
      <w:szCs w:val="31"/>
    </w:rPr>
  </w:style>
  <w:style w:type="paragraph" w:styleId="3">
    <w:name w:val="heading 2"/>
    <w:basedOn w:val="1"/>
    <w:next w:val="1"/>
    <w:qFormat/>
    <w:uiPriority w:val="1"/>
    <w:pPr>
      <w:ind w:left="634"/>
      <w:outlineLvl w:val="2"/>
    </w:pPr>
    <w:rPr>
      <w:rFonts w:ascii="宋体" w:hAnsi="宋体" w:eastAsia="宋体" w:cs="宋体"/>
      <w:sz w:val="30"/>
      <w:szCs w:val="30"/>
    </w:rPr>
  </w:style>
  <w:style w:type="character" w:default="1" w:styleId="5">
    <w:name w:val="Default Paragraph Font"/>
    <w:semiHidden/>
    <w:unhideWhenUsed/>
    <w:uiPriority w:val="1"/>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9"/>
      <w:szCs w:val="29"/>
    </w:rPr>
  </w:style>
  <w:style w:type="table" w:customStyle="1" w:styleId="7">
    <w:name w:val="Table Normal"/>
    <w:semiHidden/>
    <w:unhideWhenUsed/>
    <w:qFormat/>
    <w:uiPriority w:val="2"/>
    <w:tblPr>
      <w:tblLayout w:type="fixed"/>
      <w:tblCellMar>
        <w:top w:w="0" w:type="dxa"/>
        <w:left w:w="0" w:type="dxa"/>
        <w:bottom w:w="0" w:type="dxa"/>
        <w:right w:w="0" w:type="dxa"/>
      </w:tblCellMar>
    </w:tblPr>
  </w:style>
  <w:style w:type="paragraph" w:styleId="8">
    <w:name w:val="List Paragraph"/>
    <w:basedOn w:val="1"/>
    <w:qFormat/>
    <w:uiPriority w:val="1"/>
    <w:pPr>
      <w:ind w:left="1162" w:hanging="490"/>
    </w:pPr>
    <w:rPr>
      <w:rFonts w:ascii="宋体" w:hAnsi="宋体" w:eastAsia="宋体" w:cs="宋体"/>
    </w:rPr>
  </w:style>
  <w:style w:type="paragraph" w:customStyle="1" w:styleId="9">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2018-09-18T16:46:00Z</dcterms:created>
  <dc:creator>hp</dc:creator>
  <cp:lastModifiedBy>pomereo</cp:lastModifiedBy>
  <dcterms:modified xsi:type="dcterms:W3CDTF">2018-09-21T03:23:24Z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2018-09-06T00:00:00Z</vt:filetime>
  </property>
  <property fmtid="{D5CDD505-2E9C-101B-9397-08002B2CF9AE}" pid="3" name="LastSaved">
    <vt:filetime>2018-09-18T00:00:00Z</vt:filetime>
  </property>
  <property fmtid="{D5CDD505-2E9C-101B-9397-08002B2CF9AE}" pid="4" name="KSOProductBuildVer">
    <vt:lpwstr>2052-10.1.0.7400</vt:lpwstr>
  </property>
</Properties>
</file>