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浙江工业大学之江学院星级专业</w:t>
      </w:r>
      <w:r>
        <w:rPr>
          <w:rFonts w:hint="eastAsia"/>
          <w:b/>
          <w:bCs/>
          <w:sz w:val="32"/>
          <w:szCs w:val="32"/>
          <w:lang w:eastAsia="zh-CN"/>
        </w:rPr>
        <w:t>评价</w:t>
      </w:r>
      <w:bookmarkStart w:id="2" w:name="_GoBack"/>
      <w:bookmarkEnd w:id="2"/>
      <w:r>
        <w:rPr>
          <w:rFonts w:hint="eastAsia"/>
          <w:b/>
          <w:bCs/>
          <w:sz w:val="32"/>
          <w:szCs w:val="32"/>
        </w:rPr>
        <w:t>指标体系</w:t>
      </w:r>
    </w:p>
    <w:p/>
    <w:tbl>
      <w:tblPr>
        <w:tblStyle w:val="2"/>
        <w:tblW w:w="104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2014"/>
        <w:gridCol w:w="71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tblHeader/>
          <w:jc w:val="center"/>
        </w:trPr>
        <w:tc>
          <w:tcPr>
            <w:tcW w:w="1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一级指标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二级指标</w:t>
            </w:r>
          </w:p>
        </w:tc>
        <w:tc>
          <w:tcPr>
            <w:tcW w:w="7133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主要观测点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333" w:type="dxa"/>
            <w:vMerge w:val="restart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宋体"/>
                <w:szCs w:val="21"/>
              </w:rPr>
              <w:t>定位与目标</w:t>
            </w: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1.1</w:t>
            </w:r>
            <w:r>
              <w:rPr>
                <w:rFonts w:ascii="Times New Roman" w:hAnsi="宋体"/>
                <w:szCs w:val="21"/>
              </w:rPr>
              <w:t>专业定位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(1</w:t>
            </w:r>
            <w:r>
              <w:rPr>
                <w:rFonts w:ascii="Times New Roman" w:hAnsi="宋体"/>
                <w:szCs w:val="21"/>
              </w:rPr>
              <w:t>）专业定位与学</w:t>
            </w:r>
            <w:r>
              <w:rPr>
                <w:rFonts w:hint="eastAsia" w:ascii="Times New Roman" w:hAnsi="宋体"/>
                <w:szCs w:val="21"/>
              </w:rPr>
              <w:t>院</w:t>
            </w:r>
            <w:r>
              <w:rPr>
                <w:rFonts w:ascii="Times New Roman" w:hAnsi="宋体"/>
                <w:szCs w:val="21"/>
              </w:rPr>
              <w:t>办学定位的符合度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</w:t>
            </w:r>
            <w:r>
              <w:rPr>
                <w:rFonts w:hint="eastAsia" w:ascii="Times New Roman" w:hAnsi="宋体"/>
                <w:color w:val="auto"/>
                <w:szCs w:val="21"/>
              </w:rPr>
              <w:t>应用型</w:t>
            </w:r>
            <w:r>
              <w:rPr>
                <w:rFonts w:ascii="Times New Roman" w:hAnsi="宋体"/>
                <w:szCs w:val="21"/>
              </w:rPr>
              <w:t>人才培养定位与</w:t>
            </w:r>
            <w:r>
              <w:rPr>
                <w:rFonts w:hint="eastAsia" w:ascii="Times New Roman" w:hAnsi="宋体"/>
                <w:szCs w:val="21"/>
              </w:rPr>
              <w:t>区域</w:t>
            </w:r>
            <w:r>
              <w:rPr>
                <w:rFonts w:ascii="Times New Roman" w:hAnsi="宋体"/>
                <w:szCs w:val="21"/>
              </w:rPr>
              <w:t>经济社会发展需求的适应度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jc w:val="center"/>
        </w:trPr>
        <w:tc>
          <w:tcPr>
            <w:tcW w:w="1333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1.2</w:t>
            </w:r>
            <w:r>
              <w:rPr>
                <w:rFonts w:ascii="Times New Roman" w:hAnsi="宋体"/>
                <w:szCs w:val="21"/>
              </w:rPr>
              <w:t>培养目标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）培养方案、课程设置、课程教学大纲与建设目标的符合度。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）有明确的、可实施的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宋体"/>
                <w:szCs w:val="21"/>
              </w:rPr>
              <w:t>知识、能力、素质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宋体"/>
                <w:szCs w:val="21"/>
              </w:rPr>
              <w:t>培养标准及培养措施。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）培养目标的达成度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  <w:jc w:val="center"/>
        </w:trPr>
        <w:tc>
          <w:tcPr>
            <w:tcW w:w="1333" w:type="dxa"/>
            <w:vMerge w:val="restart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宋体"/>
                <w:szCs w:val="21"/>
              </w:rPr>
              <w:t>师资队伍</w:t>
            </w: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</w:t>
            </w:r>
            <w:r>
              <w:rPr>
                <w:rFonts w:ascii="Times New Roman" w:hAnsi="宋体"/>
                <w:szCs w:val="21"/>
              </w:rPr>
              <w:t>数量与结构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）专任教师的数量及年龄、职称、学位、学历的分布情况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）生师比、博士学位教师比例</w:t>
            </w:r>
            <w:r>
              <w:rPr>
                <w:rFonts w:hint="eastAsia" w:ascii="Times New Roman" w:hAnsi="宋体"/>
                <w:szCs w:val="21"/>
              </w:rPr>
              <w:t>、双师型教师比例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</w:t>
            </w:r>
            <w:r>
              <w:rPr>
                <w:rFonts w:hint="eastAsia" w:ascii="Times New Roman" w:hAnsi="宋体"/>
                <w:color w:val="auto"/>
                <w:szCs w:val="21"/>
              </w:rPr>
              <w:t>行业企业、实务部门等</w:t>
            </w:r>
            <w:r>
              <w:rPr>
                <w:rFonts w:ascii="Times New Roman" w:hAnsi="宋体"/>
                <w:szCs w:val="21"/>
              </w:rPr>
              <w:t>兼职教师情况</w:t>
            </w:r>
            <w:r>
              <w:rPr>
                <w:rFonts w:hint="eastAsia" w:ascii="Times New Roman" w:hAnsi="宋体"/>
                <w:szCs w:val="21"/>
              </w:rPr>
              <w:t>（含“一课双师”）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）新增专任教师及教师队伍</w:t>
            </w:r>
            <w:r>
              <w:rPr>
                <w:rFonts w:hint="eastAsia" w:ascii="Times New Roman" w:hAnsi="宋体"/>
                <w:color w:val="auto"/>
                <w:szCs w:val="21"/>
              </w:rPr>
              <w:t>学历、职称、实践能力</w:t>
            </w:r>
            <w:r>
              <w:rPr>
                <w:rFonts w:hint="eastAsia" w:ascii="Times New Roman" w:hAnsi="宋体"/>
                <w:szCs w:val="21"/>
              </w:rPr>
              <w:t>提升</w:t>
            </w:r>
            <w:r>
              <w:rPr>
                <w:rFonts w:ascii="Times New Roman" w:hAnsi="宋体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jc w:val="center"/>
        </w:trPr>
        <w:tc>
          <w:tcPr>
            <w:tcW w:w="1333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</w:t>
            </w:r>
            <w:r>
              <w:rPr>
                <w:rFonts w:ascii="Times New Roman" w:hAnsi="宋体"/>
                <w:szCs w:val="21"/>
              </w:rPr>
              <w:t>教育教学水平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）专业负责人及其履职情况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）专任教师的专业水平与教学能力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）教学名师、教坛新秀、教师讲课比赛获奖及教学团队建设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  <w:jc w:val="center"/>
        </w:trPr>
        <w:tc>
          <w:tcPr>
            <w:tcW w:w="1333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  <w:r>
              <w:rPr>
                <w:rFonts w:ascii="Times New Roman" w:hAnsi="宋体"/>
                <w:szCs w:val="21"/>
              </w:rPr>
              <w:t>教师教学投入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）教授、副教授为本科生上课情况</w:t>
            </w:r>
          </w:p>
          <w:p>
            <w:pPr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）教师开展教学研究、参与教学改革与建设情况</w:t>
            </w:r>
          </w:p>
          <w:p>
            <w:pPr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（3）教师指导学科竞赛、课外科技立项</w:t>
            </w:r>
            <w:r>
              <w:rPr>
                <w:rFonts w:hint="eastAsia" w:ascii="Times New Roman" w:hAnsi="宋体"/>
                <w:color w:val="auto"/>
                <w:szCs w:val="21"/>
              </w:rPr>
              <w:t>及组织指导学生参加职业资格证书考试</w:t>
            </w:r>
            <w:r>
              <w:rPr>
                <w:rFonts w:hint="eastAsia" w:ascii="Times New Roman" w:hAnsi="宋体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jc w:val="center"/>
        </w:trPr>
        <w:tc>
          <w:tcPr>
            <w:tcW w:w="1333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</w:t>
            </w:r>
            <w:r>
              <w:rPr>
                <w:rFonts w:ascii="Times New Roman" w:hAnsi="宋体"/>
                <w:szCs w:val="21"/>
              </w:rPr>
              <w:t>教师发展与服务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）提升教师教学能力和专业水平的措施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）专任教师挂职锻炼</w:t>
            </w:r>
            <w:r>
              <w:rPr>
                <w:rFonts w:hint="eastAsia" w:ascii="Times New Roman" w:hAnsi="宋体"/>
                <w:szCs w:val="21"/>
              </w:rPr>
              <w:t>和</w:t>
            </w:r>
            <w:r>
              <w:rPr>
                <w:rFonts w:ascii="Times New Roman" w:hAnsi="宋体"/>
                <w:szCs w:val="21"/>
              </w:rPr>
              <w:t>国内外访学</w:t>
            </w:r>
            <w:r>
              <w:rPr>
                <w:rFonts w:hint="eastAsia" w:ascii="Times New Roman" w:hAnsi="宋体"/>
                <w:szCs w:val="21"/>
              </w:rPr>
              <w:t>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）青年教师助讲培养情况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jc w:val="center"/>
        </w:trPr>
        <w:tc>
          <w:tcPr>
            <w:tcW w:w="1333" w:type="dxa"/>
            <w:vMerge w:val="restart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宋体"/>
                <w:szCs w:val="21"/>
              </w:rPr>
              <w:t>教学资源</w:t>
            </w: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3.1</w:t>
            </w:r>
            <w:r>
              <w:rPr>
                <w:rFonts w:ascii="Times New Roman" w:hAnsi="宋体"/>
                <w:szCs w:val="21"/>
              </w:rPr>
              <w:t>经费投入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</w:t>
            </w:r>
            <w:r>
              <w:rPr>
                <w:rFonts w:hint="eastAsia" w:ascii="Times New Roman" w:hAnsi="宋体"/>
                <w:szCs w:val="21"/>
              </w:rPr>
              <w:t>二级</w:t>
            </w:r>
            <w:r>
              <w:rPr>
                <w:rFonts w:ascii="Times New Roman" w:hAnsi="宋体"/>
                <w:szCs w:val="21"/>
              </w:rPr>
              <w:t>学院专业建设经费投入及年度增长情况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</w:t>
            </w:r>
            <w:r>
              <w:rPr>
                <w:rFonts w:hint="eastAsia" w:ascii="Times New Roman" w:hAnsi="宋体"/>
                <w:color w:val="auto"/>
                <w:szCs w:val="21"/>
              </w:rPr>
              <w:t>星级</w:t>
            </w:r>
            <w:r>
              <w:rPr>
                <w:rFonts w:ascii="Times New Roman" w:hAnsi="宋体"/>
                <w:szCs w:val="21"/>
              </w:rPr>
              <w:t>专业建设经费分配方式、比例及使用效益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）实践教学经费投入及使用情况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jc w:val="center"/>
        </w:trPr>
        <w:tc>
          <w:tcPr>
            <w:tcW w:w="1333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3.2</w:t>
            </w:r>
            <w:r>
              <w:rPr>
                <w:rFonts w:ascii="Times New Roman" w:hAnsi="宋体"/>
                <w:szCs w:val="21"/>
              </w:rPr>
              <w:t>教学设施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）教学设施满足专业教学需要情况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）教学、科研设施的开放程度及利用情况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）教学信息化条件及资源建设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jc w:val="center"/>
        </w:trPr>
        <w:tc>
          <w:tcPr>
            <w:tcW w:w="1333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3.3</w:t>
            </w:r>
            <w:r>
              <w:rPr>
                <w:rFonts w:ascii="Times New Roman" w:hAnsi="宋体"/>
                <w:szCs w:val="21"/>
              </w:rPr>
              <w:t>课程资源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）课程建设规划与执行（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）课程的数量、结构及优质课程资源（含在线开放课程）建设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）教材</w:t>
            </w:r>
            <w:r>
              <w:rPr>
                <w:rFonts w:hint="eastAsia" w:ascii="Times New Roman" w:hAnsi="宋体"/>
                <w:color w:val="auto"/>
                <w:szCs w:val="21"/>
              </w:rPr>
              <w:t>（含新形态教材）</w:t>
            </w:r>
            <w:r>
              <w:rPr>
                <w:rFonts w:ascii="Times New Roman" w:hAnsi="宋体"/>
                <w:szCs w:val="21"/>
              </w:rPr>
              <w:t>建设</w:t>
            </w:r>
            <w:r>
              <w:rPr>
                <w:rFonts w:hint="eastAsia" w:ascii="Times New Roman" w:hAnsi="宋体"/>
                <w:szCs w:val="21"/>
              </w:rPr>
              <w:t>、</w:t>
            </w:r>
            <w:r>
              <w:rPr>
                <w:rFonts w:ascii="Times New Roman" w:hAnsi="宋体"/>
                <w:szCs w:val="21"/>
              </w:rPr>
              <w:t>选用</w:t>
            </w:r>
            <w:r>
              <w:rPr>
                <w:rFonts w:hint="eastAsia" w:ascii="Times New Roman" w:hAnsi="宋体"/>
                <w:szCs w:val="21"/>
              </w:rPr>
              <w:t>与立项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jc w:val="center"/>
        </w:trPr>
        <w:tc>
          <w:tcPr>
            <w:tcW w:w="1333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3.4</w:t>
            </w:r>
            <w:r>
              <w:rPr>
                <w:rFonts w:ascii="Times New Roman" w:hAnsi="宋体"/>
                <w:szCs w:val="21"/>
              </w:rPr>
              <w:t>社会资源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</w:t>
            </w:r>
            <w:r>
              <w:rPr>
                <w:rFonts w:hint="eastAsia" w:ascii="Times New Roman" w:hAnsi="宋体"/>
                <w:color w:val="auto"/>
                <w:szCs w:val="21"/>
              </w:rPr>
              <w:t>校企</w:t>
            </w:r>
            <w:r>
              <w:rPr>
                <w:rFonts w:ascii="Times New Roman" w:hAnsi="宋体"/>
                <w:szCs w:val="21"/>
              </w:rPr>
              <w:t>合作办学、</w:t>
            </w:r>
            <w:r>
              <w:rPr>
                <w:rFonts w:hint="eastAsia" w:ascii="Times New Roman" w:hAnsi="宋体"/>
                <w:szCs w:val="21"/>
                <w:lang w:eastAsia="zh-CN"/>
              </w:rPr>
              <w:t>协同</w:t>
            </w:r>
            <w:r>
              <w:rPr>
                <w:rFonts w:ascii="Times New Roman" w:hAnsi="宋体"/>
                <w:szCs w:val="21"/>
              </w:rPr>
              <w:t>育人的措施与效果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）共建教学资源情况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）社会捐赠情况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3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宋体"/>
                <w:szCs w:val="21"/>
              </w:rPr>
              <w:t>培养过程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4.1</w:t>
            </w:r>
            <w:r>
              <w:rPr>
                <w:rFonts w:ascii="Times New Roman" w:hAnsi="宋体"/>
                <w:szCs w:val="21"/>
              </w:rPr>
              <w:t>培养方案</w:t>
            </w:r>
          </w:p>
        </w:tc>
        <w:tc>
          <w:tcPr>
            <w:tcW w:w="7133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）专业培养方案的制订、执行与调整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）专业建设工作委员会建设及行业企业专家参与情况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1" w:hRule="atLeast"/>
          <w:jc w:val="center"/>
        </w:trPr>
        <w:tc>
          <w:tcPr>
            <w:tcW w:w="1333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4.2</w:t>
            </w:r>
            <w:r>
              <w:rPr>
                <w:rFonts w:ascii="Times New Roman" w:hAnsi="宋体"/>
                <w:szCs w:val="21"/>
              </w:rPr>
              <w:t>教学改革</w:t>
            </w:r>
          </w:p>
        </w:tc>
        <w:tc>
          <w:tcPr>
            <w:tcW w:w="7133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）教学改革的总体思路、措施及效果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</w:t>
            </w:r>
            <w:r>
              <w:rPr>
                <w:rFonts w:hint="eastAsia" w:ascii="Times New Roman" w:hAnsi="宋体"/>
                <w:color w:val="auto"/>
                <w:szCs w:val="21"/>
              </w:rPr>
              <w:t>应用型</w:t>
            </w:r>
            <w:r>
              <w:rPr>
                <w:rFonts w:ascii="Times New Roman" w:hAnsi="宋体"/>
                <w:szCs w:val="21"/>
              </w:rPr>
              <w:t>人才培养模式改革，人才培养机制创新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）创新创业教育与专业教育融合情况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）教师科研对</w:t>
            </w:r>
            <w:r>
              <w:rPr>
                <w:rFonts w:hint="eastAsia" w:ascii="Times New Roman" w:hAnsi="宋体"/>
                <w:color w:val="auto"/>
                <w:szCs w:val="21"/>
              </w:rPr>
              <w:t>应用型</w:t>
            </w:r>
            <w:r>
              <w:rPr>
                <w:rFonts w:ascii="Times New Roman" w:hAnsi="宋体"/>
                <w:szCs w:val="21"/>
              </w:rPr>
              <w:t>人才培养的支撑</w:t>
            </w:r>
          </w:p>
          <w:p>
            <w:pPr>
              <w:rPr>
                <w:rFonts w:ascii="Times New Roman" w:hAnsi="Times New Roman"/>
                <w:szCs w:val="21"/>
              </w:rPr>
            </w:pPr>
            <w:bookmarkStart w:id="0" w:name="OLE_LINK1"/>
            <w:bookmarkStart w:id="1" w:name="OLE_LINK2"/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宋体"/>
                <w:szCs w:val="21"/>
              </w:rPr>
              <w:t>）学生转专业情况</w:t>
            </w:r>
          </w:p>
          <w:bookmarkEnd w:id="0"/>
          <w:bookmarkEnd w:id="1"/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宋体"/>
                <w:szCs w:val="21"/>
              </w:rPr>
              <w:t>）教与学评价及改革情况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1" w:hRule="atLeast"/>
          <w:jc w:val="center"/>
        </w:trPr>
        <w:tc>
          <w:tcPr>
            <w:tcW w:w="13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4.3</w:t>
            </w:r>
            <w:r>
              <w:rPr>
                <w:rFonts w:ascii="Times New Roman" w:hAnsi="宋体"/>
                <w:szCs w:val="21"/>
              </w:rPr>
              <w:t>课堂教学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）教学大纲的制订与执行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）课堂教学创新情况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）教师教学方法，学生学习方式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</w:t>
            </w:r>
            <w:r>
              <w:rPr>
                <w:rFonts w:hint="eastAsia" w:ascii="Times New Roman" w:hAnsi="宋体"/>
                <w:color w:val="auto"/>
                <w:szCs w:val="21"/>
              </w:rPr>
              <w:t>课程</w:t>
            </w:r>
            <w:r>
              <w:rPr>
                <w:rFonts w:ascii="Times New Roman" w:hAnsi="宋体"/>
                <w:szCs w:val="21"/>
              </w:rPr>
              <w:t>考核的方式方法</w:t>
            </w:r>
            <w:r>
              <w:rPr>
                <w:rFonts w:hint="eastAsia" w:ascii="Times New Roman" w:hAnsi="宋体"/>
                <w:color w:val="auto"/>
                <w:szCs w:val="21"/>
              </w:rPr>
              <w:t>、学生学业过程性评价情况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宋体"/>
                <w:szCs w:val="21"/>
              </w:rPr>
              <w:t>）选修课学分占总学分比例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宋体"/>
                <w:szCs w:val="21"/>
              </w:rPr>
              <w:t>）小班化教学及分层分类教学情况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  <w:jc w:val="center"/>
        </w:trPr>
        <w:tc>
          <w:tcPr>
            <w:tcW w:w="13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4.4</w:t>
            </w:r>
            <w:r>
              <w:rPr>
                <w:rFonts w:ascii="Times New Roman" w:hAnsi="宋体"/>
                <w:szCs w:val="21"/>
              </w:rPr>
              <w:t>实践教学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）实践教学体系建设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）实验教学改革及学分占比情况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）校外</w:t>
            </w:r>
            <w:r>
              <w:rPr>
                <w:rFonts w:hint="eastAsia" w:ascii="Times New Roman" w:hAnsi="宋体"/>
                <w:color w:val="auto"/>
                <w:szCs w:val="21"/>
              </w:rPr>
              <w:t>实践教育</w:t>
            </w:r>
            <w:r>
              <w:rPr>
                <w:rFonts w:ascii="Times New Roman" w:hAnsi="宋体"/>
                <w:color w:val="auto"/>
                <w:szCs w:val="21"/>
              </w:rPr>
              <w:t>基地</w:t>
            </w:r>
            <w:r>
              <w:rPr>
                <w:rFonts w:ascii="Times New Roman" w:hAnsi="宋体"/>
                <w:szCs w:val="21"/>
              </w:rPr>
              <w:t>建设情况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）实习实训、社会实践、毕业设计（论文）的落实、管理与指导及效果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jc w:val="center"/>
        </w:trPr>
        <w:tc>
          <w:tcPr>
            <w:tcW w:w="13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4.5</w:t>
            </w:r>
            <w:r>
              <w:rPr>
                <w:rFonts w:ascii="Times New Roman" w:hAnsi="宋体"/>
                <w:szCs w:val="21"/>
              </w:rPr>
              <w:t>第二课堂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）第二课堂育人体系建设与保障措施</w:t>
            </w:r>
          </w:p>
          <w:p>
            <w:pPr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）大学生科技活动及育人效果</w:t>
            </w:r>
          </w:p>
          <w:p>
            <w:pPr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（3）落实“课程思政”理念情况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3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4.6</w:t>
            </w:r>
            <w:r>
              <w:rPr>
                <w:rFonts w:ascii="Times New Roman" w:hAnsi="宋体"/>
                <w:szCs w:val="21"/>
              </w:rPr>
              <w:t>开放教学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）本科生省内外交流学习情况</w:t>
            </w:r>
            <w:r>
              <w:rPr>
                <w:rFonts w:hint="eastAsia" w:ascii="Times New Roman" w:hAnsi="宋体"/>
                <w:szCs w:val="21"/>
                <w:lang w:eastAsia="zh-CN"/>
              </w:rPr>
              <w:t>（半个月以上出国（境）游学项目情况）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</w:t>
            </w:r>
            <w:r>
              <w:rPr>
                <w:rFonts w:hint="eastAsia" w:ascii="Times New Roman" w:hAnsi="宋体"/>
                <w:color w:val="auto"/>
                <w:szCs w:val="21"/>
              </w:rPr>
              <w:t>外语、</w:t>
            </w:r>
            <w:r>
              <w:rPr>
                <w:rFonts w:ascii="Times New Roman" w:hAnsi="宋体"/>
                <w:szCs w:val="21"/>
              </w:rPr>
              <w:t>双语课程建设</w:t>
            </w:r>
            <w:r>
              <w:rPr>
                <w:rFonts w:hint="eastAsia" w:ascii="Times New Roman" w:hAnsi="宋体"/>
                <w:szCs w:val="21"/>
              </w:rPr>
              <w:t>、</w:t>
            </w:r>
            <w:r>
              <w:rPr>
                <w:rFonts w:hint="eastAsia" w:ascii="Times New Roman" w:hAnsi="宋体"/>
                <w:color w:val="auto"/>
                <w:szCs w:val="21"/>
              </w:rPr>
              <w:t>留学生教育情况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333" w:type="dxa"/>
            <w:vMerge w:val="restart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宋体"/>
                <w:szCs w:val="21"/>
              </w:rPr>
              <w:t>学生发展</w:t>
            </w: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5.1</w:t>
            </w:r>
            <w:r>
              <w:rPr>
                <w:rFonts w:ascii="Times New Roman" w:hAnsi="宋体"/>
                <w:szCs w:val="21"/>
              </w:rPr>
              <w:t>招生及生源情况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）专业生源状况</w:t>
            </w:r>
            <w:r>
              <w:rPr>
                <w:rFonts w:hint="eastAsia" w:ascii="Times New Roman" w:hAnsi="宋体"/>
                <w:color w:val="auto"/>
                <w:szCs w:val="21"/>
              </w:rPr>
              <w:t>（新生入学平均分等）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）改进生源质量的措施及效果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  <w:jc w:val="center"/>
        </w:trPr>
        <w:tc>
          <w:tcPr>
            <w:tcW w:w="1333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5.2</w:t>
            </w:r>
            <w:r>
              <w:rPr>
                <w:rFonts w:ascii="Times New Roman" w:hAnsi="宋体"/>
                <w:szCs w:val="21"/>
              </w:rPr>
              <w:t>学业指导与服务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）学业指导与服务的内容及效果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）学业指导与服务的组织与条件保障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jc w:val="center"/>
        </w:trPr>
        <w:tc>
          <w:tcPr>
            <w:tcW w:w="1333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5.3</w:t>
            </w:r>
            <w:r>
              <w:rPr>
                <w:rFonts w:ascii="Times New Roman" w:hAnsi="宋体"/>
                <w:szCs w:val="21"/>
              </w:rPr>
              <w:t>学风与学习效果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）严格学生学业管理的措施与效果</w:t>
            </w:r>
          </w:p>
          <w:p>
            <w:pPr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）学生考研率</w:t>
            </w:r>
            <w:r>
              <w:rPr>
                <w:rFonts w:hint="eastAsia" w:ascii="Times New Roman" w:hAnsi="宋体"/>
                <w:szCs w:val="21"/>
              </w:rPr>
              <w:t>、出国率、</w:t>
            </w:r>
            <w:r>
              <w:rPr>
                <w:rFonts w:ascii="Times New Roman" w:hAnsi="宋体"/>
                <w:szCs w:val="21"/>
              </w:rPr>
              <w:t>双证率等情况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color w:val="auto"/>
                <w:szCs w:val="21"/>
              </w:rPr>
              <w:t>（3）学生学科竞赛成绩、发表论文、发明专利等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  <w:jc w:val="center"/>
        </w:trPr>
        <w:tc>
          <w:tcPr>
            <w:tcW w:w="1333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5.4</w:t>
            </w:r>
            <w:r>
              <w:rPr>
                <w:rFonts w:ascii="Times New Roman" w:hAnsi="宋体"/>
                <w:szCs w:val="21"/>
              </w:rPr>
              <w:t>就业与发展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）毕业生毕业率、学位率、初次就业率、就业率、创业率、专业对口相关度、薪</w:t>
            </w:r>
            <w:r>
              <w:rPr>
                <w:rFonts w:hint="eastAsia" w:ascii="Times New Roman" w:hAnsi="宋体"/>
                <w:color w:val="auto"/>
                <w:szCs w:val="21"/>
              </w:rPr>
              <w:t>酬</w:t>
            </w:r>
            <w:r>
              <w:rPr>
                <w:rFonts w:ascii="Times New Roman" w:hAnsi="宋体"/>
                <w:color w:val="auto"/>
                <w:szCs w:val="21"/>
              </w:rPr>
              <w:t>水平</w:t>
            </w:r>
            <w:r>
              <w:rPr>
                <w:rFonts w:ascii="Times New Roman" w:hAnsi="宋体"/>
                <w:szCs w:val="21"/>
              </w:rPr>
              <w:t>等职业发展情况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）毕业生对教学的满意度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）用人单位对毕业生的满意度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333" w:type="dxa"/>
            <w:vMerge w:val="restart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</w:t>
            </w:r>
            <w:r>
              <w:rPr>
                <w:rFonts w:ascii="Times New Roman" w:hAnsi="宋体"/>
                <w:szCs w:val="21"/>
              </w:rPr>
              <w:t>质量保障</w:t>
            </w:r>
          </w:p>
        </w:tc>
        <w:tc>
          <w:tcPr>
            <w:tcW w:w="2014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6.1</w:t>
            </w:r>
            <w:r>
              <w:rPr>
                <w:rFonts w:ascii="Times New Roman" w:hAnsi="宋体"/>
                <w:szCs w:val="21"/>
              </w:rPr>
              <w:t>教学管理</w:t>
            </w:r>
          </w:p>
        </w:tc>
        <w:tc>
          <w:tcPr>
            <w:tcW w:w="7133" w:type="dxa"/>
            <w:tcBorders>
              <w:top w:val="single" w:color="ECE9D8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）专业教学管理制度、管理手段、管理队伍及执行力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）基层教学组织建设措施及效果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jc w:val="center"/>
        </w:trPr>
        <w:tc>
          <w:tcPr>
            <w:tcW w:w="1333" w:type="dxa"/>
            <w:vMerge w:val="continue"/>
            <w:tcBorders>
              <w:top w:val="single" w:color="ECE9D8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6" w:space="0"/>
              <w:left w:val="single" w:color="ECE9D8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6.2</w:t>
            </w:r>
            <w:r>
              <w:rPr>
                <w:rFonts w:ascii="Times New Roman" w:hAnsi="宋体"/>
                <w:szCs w:val="21"/>
              </w:rPr>
              <w:t>质量监控和持续改进</w:t>
            </w:r>
          </w:p>
        </w:tc>
        <w:tc>
          <w:tcPr>
            <w:tcW w:w="71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）专业教学标准、课程标准及新开课标准和教学评价标准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）自我评估及质量监控的形式和效果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）持续改进的途径与方法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  <w:jc w:val="center"/>
        </w:trPr>
        <w:tc>
          <w:tcPr>
            <w:tcW w:w="1333" w:type="dxa"/>
            <w:vMerge w:val="restart"/>
            <w:tcBorders>
              <w:top w:val="single" w:color="ECE9D8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7.专业优势</w:t>
            </w:r>
            <w:r>
              <w:rPr>
                <w:rFonts w:hint="eastAsia" w:ascii="Times New Roman" w:hAnsi="宋体"/>
                <w:szCs w:val="21"/>
              </w:rPr>
              <w:t>、</w:t>
            </w:r>
            <w:r>
              <w:rPr>
                <w:rFonts w:ascii="Times New Roman" w:hAnsi="宋体"/>
                <w:szCs w:val="21"/>
              </w:rPr>
              <w:t>特色</w:t>
            </w:r>
            <w:r>
              <w:rPr>
                <w:rFonts w:hint="eastAsia" w:ascii="Times New Roman" w:hAnsi="宋体"/>
                <w:szCs w:val="21"/>
              </w:rPr>
              <w:t>和亮点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ECE9D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7.1专业总体水平</w:t>
            </w:r>
          </w:p>
        </w:tc>
        <w:tc>
          <w:tcPr>
            <w:tcW w:w="713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在全国性的专业排行榜中所处的位置与星级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133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ECE9D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7.2</w:t>
            </w:r>
            <w:r>
              <w:rPr>
                <w:rFonts w:ascii="Times New Roman" w:hAnsi="宋体"/>
                <w:szCs w:val="21"/>
              </w:rPr>
              <w:t>专业优势</w:t>
            </w:r>
            <w:r>
              <w:rPr>
                <w:rFonts w:hint="eastAsia" w:ascii="Times New Roman" w:hAnsi="宋体"/>
                <w:szCs w:val="21"/>
              </w:rPr>
              <w:t>、</w:t>
            </w:r>
            <w:r>
              <w:rPr>
                <w:rFonts w:ascii="Times New Roman" w:hAnsi="宋体"/>
                <w:szCs w:val="21"/>
              </w:rPr>
              <w:t>特色</w:t>
            </w:r>
            <w:r>
              <w:rPr>
                <w:rFonts w:hint="eastAsia" w:ascii="Times New Roman" w:hAnsi="宋体"/>
                <w:szCs w:val="21"/>
              </w:rPr>
              <w:t>和亮点</w:t>
            </w:r>
          </w:p>
        </w:tc>
        <w:tc>
          <w:tcPr>
            <w:tcW w:w="7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与省内外同类专业相比，本专业的人才培养和专业建设的特色和优势。</w:t>
            </w:r>
            <w:r>
              <w:rPr>
                <w:rFonts w:ascii="Times New Roman" w:hAnsi="宋体"/>
                <w:szCs w:val="21"/>
              </w:rPr>
              <w:t>可自行选择专业建设的优势</w:t>
            </w:r>
            <w:r>
              <w:rPr>
                <w:rFonts w:hint="eastAsia" w:ascii="Times New Roman" w:hAnsi="宋体"/>
                <w:szCs w:val="21"/>
              </w:rPr>
              <w:t>、</w:t>
            </w:r>
            <w:r>
              <w:rPr>
                <w:rFonts w:ascii="Times New Roman" w:hAnsi="宋体"/>
                <w:szCs w:val="21"/>
              </w:rPr>
              <w:t>特色</w:t>
            </w:r>
            <w:r>
              <w:rPr>
                <w:rFonts w:hint="eastAsia" w:ascii="Times New Roman" w:hAnsi="宋体"/>
                <w:szCs w:val="21"/>
              </w:rPr>
              <w:t>和亮点</w:t>
            </w:r>
            <w:r>
              <w:rPr>
                <w:rFonts w:ascii="Times New Roman" w:hAnsi="宋体"/>
                <w:szCs w:val="21"/>
              </w:rPr>
              <w:t>进行说明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93621"/>
    <w:rsid w:val="1AE85E0D"/>
    <w:rsid w:val="4C380364"/>
    <w:rsid w:val="5FE93621"/>
    <w:rsid w:val="6BE05E5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2018-12-04T02:58:00Z</dcterms:created>
  <dc:creator>pomereo</dc:creator>
  <cp:lastModifiedBy>pomereo</cp:lastModifiedBy>
  <dcterms:modified xsi:type="dcterms:W3CDTF">2019-12-23T01:15:48Z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