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hAnsi="华文中宋"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jc w:val="center"/>
        <w:rPr>
          <w:rFonts w:ascii="仿宋_GB2312" w:hAnsi="宋体" w:eastAsia="黑体"/>
          <w:b/>
          <w:sz w:val="44"/>
        </w:rPr>
      </w:pPr>
    </w:p>
    <w:p>
      <w:pPr>
        <w:ind w:right="-509" w:rightChars="-159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浙江工业大学之江学院</w:t>
      </w:r>
    </w:p>
    <w:p>
      <w:pPr>
        <w:ind w:right="-509" w:rightChars="-159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星级专业建设项目</w:t>
      </w:r>
    </w:p>
    <w:p>
      <w:pPr>
        <w:jc w:val="center"/>
        <w:rPr>
          <w:rFonts w:ascii="仿宋_GB2312" w:hAnsi="宋体" w:eastAsia="黑体"/>
          <w:b/>
          <w:sz w:val="44"/>
        </w:rPr>
      </w:pPr>
    </w:p>
    <w:p>
      <w:pPr>
        <w:jc w:val="center"/>
        <w:rPr>
          <w:rFonts w:hint="eastAsia" w:ascii="华文中宋" w:hAnsi="华文中宋" w:eastAsia="华文中宋"/>
          <w:b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b/>
          <w:sz w:val="72"/>
          <w:szCs w:val="72"/>
          <w:lang w:eastAsia="zh-CN"/>
        </w:rPr>
        <w:t>年度检查表</w:t>
      </w:r>
    </w:p>
    <w:p>
      <w:pPr>
        <w:jc w:val="center"/>
        <w:rPr>
          <w:rFonts w:ascii="隶书" w:hAnsi="宋体" w:eastAsia="仿宋_GB2312"/>
          <w:bCs/>
          <w:sz w:val="28"/>
        </w:rPr>
      </w:pPr>
    </w:p>
    <w:p>
      <w:pPr>
        <w:rPr>
          <w:sz w:val="28"/>
        </w:rPr>
      </w:pPr>
    </w:p>
    <w:p>
      <w:pPr>
        <w:ind w:firstLine="1920" w:firstLineChars="6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所在二级学院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>
      <w:pPr>
        <w:ind w:firstLine="1920" w:firstLineChars="60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专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业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名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称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>
      <w:pPr>
        <w:ind w:firstLine="1920" w:firstLineChars="600"/>
        <w:rPr>
          <w:rFonts w:hint="eastAsia" w:eastAsia="楷体_GB2312"/>
          <w:sz w:val="32"/>
          <w:szCs w:val="32"/>
          <w:u w:val="none"/>
          <w:lang w:eastAsia="zh-CN"/>
        </w:rPr>
      </w:pPr>
      <w:r>
        <w:rPr>
          <w:rFonts w:hint="eastAsia" w:eastAsia="楷体_GB2312"/>
          <w:sz w:val="32"/>
          <w:szCs w:val="32"/>
          <w:u w:val="none"/>
          <w:lang w:eastAsia="zh-CN"/>
        </w:rPr>
        <w:t>建</w:t>
      </w:r>
      <w:r>
        <w:rPr>
          <w:rFonts w:hint="eastAsia" w:eastAsia="楷体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楷体_GB2312"/>
          <w:sz w:val="32"/>
          <w:szCs w:val="32"/>
          <w:u w:val="none"/>
          <w:lang w:eastAsia="zh-CN"/>
        </w:rPr>
        <w:t>设</w:t>
      </w:r>
      <w:r>
        <w:rPr>
          <w:rFonts w:hint="eastAsia" w:eastAsia="楷体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楷体_GB2312"/>
          <w:sz w:val="32"/>
          <w:szCs w:val="32"/>
          <w:u w:val="none"/>
          <w:lang w:eastAsia="zh-CN"/>
        </w:rPr>
        <w:t>星</w:t>
      </w:r>
      <w:r>
        <w:rPr>
          <w:rFonts w:hint="eastAsia" w:eastAsia="楷体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楷体_GB2312"/>
          <w:sz w:val="32"/>
          <w:szCs w:val="32"/>
          <w:u w:val="none"/>
          <w:lang w:eastAsia="zh-CN"/>
        </w:rPr>
        <w:t>级</w:t>
      </w:r>
      <w:r>
        <w:rPr>
          <w:rFonts w:hint="eastAsia" w:eastAsia="楷体_GB2312"/>
          <w:sz w:val="32"/>
          <w:szCs w:val="32"/>
          <w:u w:val="none"/>
          <w:lang w:val="en-US" w:eastAsia="zh-CN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>
      <w:pPr>
        <w:ind w:firstLine="1920" w:firstLineChars="60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专业负责人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>
      <w:pPr>
        <w:ind w:firstLine="1920" w:firstLineChars="600"/>
        <w:rPr>
          <w:rFonts w:eastAsia="楷体_GB2312"/>
          <w:sz w:val="28"/>
          <w:u w:val="single"/>
        </w:rPr>
      </w:pPr>
      <w:r>
        <w:rPr>
          <w:rFonts w:hint="eastAsia" w:eastAsia="楷体_GB2312"/>
          <w:sz w:val="32"/>
          <w:szCs w:val="32"/>
        </w:rPr>
        <w:t>联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系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电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话</w:t>
      </w:r>
      <w:r>
        <w:rPr>
          <w:rFonts w:eastAsia="楷体_GB2312"/>
          <w:sz w:val="32"/>
          <w:szCs w:val="32"/>
          <w:u w:val="single"/>
        </w:rPr>
        <w:t xml:space="preserve">                        </w:t>
      </w:r>
    </w:p>
    <w:p>
      <w:pPr>
        <w:rPr>
          <w:rFonts w:eastAsia="华文楷体"/>
          <w:sz w:val="28"/>
        </w:rPr>
      </w:pPr>
    </w:p>
    <w:p>
      <w:pPr>
        <w:rPr>
          <w:rFonts w:eastAsia="华文楷体"/>
          <w:sz w:val="28"/>
        </w:rPr>
      </w:pPr>
    </w:p>
    <w:p>
      <w:pPr>
        <w:rPr>
          <w:rFonts w:eastAsia="华文楷体"/>
          <w:sz w:val="28"/>
        </w:rPr>
      </w:pPr>
    </w:p>
    <w:p>
      <w:pPr>
        <w:rPr>
          <w:rFonts w:eastAsia="华文楷体"/>
          <w:sz w:val="28"/>
        </w:rPr>
      </w:pPr>
    </w:p>
    <w:p>
      <w:pPr>
        <w:rPr>
          <w:rFonts w:eastAsia="华文楷体"/>
          <w:sz w:val="28"/>
        </w:rPr>
      </w:pPr>
    </w:p>
    <w:p>
      <w:pPr>
        <w:jc w:val="center"/>
        <w:rPr>
          <w:rFonts w:hint="eastAsia" w:ascii="楷体" w:hAnsi="楷体" w:eastAsia="楷体" w:cs="楷体"/>
          <w:b/>
          <w:sz w:val="32"/>
        </w:rPr>
      </w:pPr>
      <w:r>
        <w:rPr>
          <w:rFonts w:hint="eastAsia" w:ascii="楷体" w:hAnsi="楷体" w:eastAsia="楷体" w:cs="楷体"/>
          <w:b/>
          <w:sz w:val="32"/>
        </w:rPr>
        <w:t>浙江工业大学之江学院教务部 制</w:t>
      </w:r>
    </w:p>
    <w:p>
      <w:pPr>
        <w:pStyle w:val="2"/>
        <w:ind w:left="150" w:leftChars="47"/>
        <w:jc w:val="center"/>
        <w:rPr>
          <w:rFonts w:eastAsia="仿宋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二○一</w:t>
      </w:r>
      <w:r>
        <w:rPr>
          <w:rFonts w:hint="eastAsia" w:eastAsia="楷体_GB2312"/>
          <w:b/>
          <w:bCs/>
          <w:sz w:val="32"/>
          <w:lang w:eastAsia="zh-CN"/>
        </w:rPr>
        <w:t>九</w:t>
      </w:r>
      <w:bookmarkStart w:id="0" w:name="_GoBack"/>
      <w:bookmarkEnd w:id="0"/>
      <w:r>
        <w:rPr>
          <w:rFonts w:hint="eastAsia" w:eastAsia="楷体_GB2312"/>
          <w:b/>
          <w:bCs/>
          <w:sz w:val="32"/>
        </w:rPr>
        <w:t>年</w:t>
      </w:r>
      <w:r>
        <w:rPr>
          <w:rFonts w:hint="eastAsia" w:eastAsia="楷体_GB2312"/>
          <w:b/>
          <w:bCs/>
          <w:sz w:val="32"/>
          <w:lang w:eastAsia="zh-CN"/>
        </w:rPr>
        <w:t>十二</w:t>
      </w:r>
      <w:r>
        <w:rPr>
          <w:rFonts w:hint="eastAsia" w:eastAsia="楷体_GB2312"/>
          <w:b/>
          <w:bCs/>
          <w:sz w:val="32"/>
        </w:rPr>
        <w:t>月</w:t>
      </w:r>
    </w:p>
    <w:p>
      <w:pPr>
        <w:widowControl/>
        <w:numPr>
          <w:ilvl w:val="0"/>
          <w:numId w:val="1"/>
        </w:numPr>
        <w:snapToGrid w:val="0"/>
        <w:spacing w:line="312" w:lineRule="auto"/>
        <w:rPr>
          <w:rFonts w:ascii="Times New Roman" w:hAnsi="黑体" w:eastAsia="黑体"/>
          <w:b/>
          <w:sz w:val="28"/>
          <w:szCs w:val="28"/>
        </w:rPr>
      </w:pPr>
      <w:r>
        <w:rPr>
          <w:rFonts w:ascii="Times New Roman" w:hAnsi="黑体" w:eastAsia="黑体"/>
          <w:b/>
          <w:sz w:val="28"/>
          <w:szCs w:val="28"/>
        </w:rPr>
        <w:t>专业基本情况</w:t>
      </w:r>
    </w:p>
    <w:tbl>
      <w:tblPr>
        <w:tblStyle w:val="4"/>
        <w:tblW w:w="8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4" w:hRule="atLeast"/>
        </w:trPr>
        <w:tc>
          <w:tcPr>
            <w:tcW w:w="8160" w:type="dxa"/>
          </w:tcPr>
          <w:p>
            <w:pPr>
              <w:widowControl/>
              <w:snapToGrid w:val="0"/>
              <w:spacing w:line="312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[</w:t>
            </w:r>
            <w:r>
              <w:rPr>
                <w:rFonts w:ascii="Times New Roman" w:hAnsi="Arial" w:eastAsia="仿宋_GB2312"/>
                <w:sz w:val="28"/>
                <w:szCs w:val="28"/>
              </w:rPr>
              <w:t>重点介绍目前专业依托的学科和</w:t>
            </w:r>
            <w:r>
              <w:rPr>
                <w:rFonts w:hint="eastAsia" w:hAnsi="Arial"/>
                <w:sz w:val="28"/>
                <w:szCs w:val="28"/>
                <w:lang w:eastAsia="zh-CN"/>
              </w:rPr>
              <w:t>教学</w:t>
            </w:r>
            <w:r>
              <w:rPr>
                <w:rFonts w:ascii="Times New Roman" w:hAnsi="Arial" w:eastAsia="仿宋_GB2312"/>
                <w:sz w:val="28"/>
                <w:szCs w:val="28"/>
              </w:rPr>
              <w:t>科研平台，招生和在校生人数情况，师资队伍情况，实验、</w:t>
            </w:r>
            <w:r>
              <w:rPr>
                <w:rFonts w:hint="eastAsia" w:hAnsi="Arial"/>
                <w:sz w:val="28"/>
                <w:szCs w:val="28"/>
                <w:lang w:eastAsia="zh-CN"/>
              </w:rPr>
              <w:t>实习</w:t>
            </w:r>
            <w:r>
              <w:rPr>
                <w:rFonts w:ascii="Times New Roman" w:hAnsi="Arial" w:eastAsia="仿宋_GB2312"/>
                <w:sz w:val="28"/>
                <w:szCs w:val="28"/>
              </w:rPr>
              <w:t>实践基地情况，毕业生就业情况与培养质量等。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]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12" w:lineRule="auto"/>
              <w:rPr>
                <w:rFonts w:hint="eastAsia" w:ascii="Times New Roman" w:hAnsi="黑体" w:eastAsia="黑体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snapToGrid w:val="0"/>
        <w:spacing w:line="312" w:lineRule="auto"/>
        <w:rPr>
          <w:rFonts w:ascii="Times New Roman" w:hAnsi="黑体" w:eastAsia="黑体"/>
          <w:b/>
          <w:sz w:val="28"/>
          <w:szCs w:val="28"/>
        </w:rPr>
      </w:pPr>
    </w:p>
    <w:p>
      <w:pPr>
        <w:widowControl/>
        <w:snapToGrid w:val="0"/>
        <w:spacing w:line="312" w:lineRule="auto"/>
        <w:rPr>
          <w:rFonts w:ascii="Times New Roman" w:hAnsi="Times New Roman" w:eastAsia="黑体"/>
          <w:sz w:val="28"/>
          <w:szCs w:val="28"/>
        </w:rPr>
      </w:pPr>
    </w:p>
    <w:p>
      <w:pPr>
        <w:widowControl/>
        <w:numPr>
          <w:ilvl w:val="0"/>
          <w:numId w:val="1"/>
        </w:numPr>
        <w:snapToGrid w:val="0"/>
        <w:spacing w:line="312" w:lineRule="auto"/>
        <w:ind w:left="0" w:leftChars="0" w:firstLine="0" w:firstLineChars="0"/>
        <w:rPr>
          <w:rFonts w:ascii="Times New Roman" w:hAnsi="黑体" w:eastAsia="黑体"/>
          <w:b/>
          <w:bCs/>
          <w:sz w:val="28"/>
          <w:szCs w:val="28"/>
        </w:rPr>
      </w:pPr>
      <w:r>
        <w:rPr>
          <w:rFonts w:ascii="Times New Roman" w:hAnsi="黑体" w:eastAsia="黑体"/>
          <w:b/>
          <w:bCs/>
          <w:sz w:val="28"/>
          <w:szCs w:val="28"/>
        </w:rPr>
        <w:t>专业建设进展情况</w:t>
      </w:r>
    </w:p>
    <w:tbl>
      <w:tblPr>
        <w:tblStyle w:val="4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0" w:hRule="atLeast"/>
        </w:trPr>
        <w:tc>
          <w:tcPr>
            <w:tcW w:w="8680" w:type="dxa"/>
          </w:tcPr>
          <w:p>
            <w:pPr>
              <w:widowControl/>
              <w:snapToGrid w:val="0"/>
              <w:spacing w:line="312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[</w:t>
            </w:r>
            <w:r>
              <w:rPr>
                <w:rFonts w:ascii="Times New Roman" w:hAnsi="Arial" w:eastAsia="仿宋_GB2312"/>
                <w:sz w:val="28"/>
                <w:szCs w:val="28"/>
              </w:rPr>
              <w:t>对照项目建设目标和实施方案，逐项总结专业建设相关内容的改革举措和实际完成程度</w:t>
            </w:r>
            <w:r>
              <w:rPr>
                <w:rFonts w:hint="eastAsia" w:hAnsi="Arial"/>
                <w:sz w:val="28"/>
                <w:szCs w:val="28"/>
                <w:lang w:eastAsia="zh-CN"/>
              </w:rPr>
              <w:t>（应用型建设的专业优势与特色、人才培养质量和教学资源建设等；建设的重要工作及举措，预期达成的成果，进度情况，二级学院支持与保障政策措施）</w:t>
            </w:r>
            <w:r>
              <w:rPr>
                <w:rFonts w:ascii="Times New Roman" w:hAnsi="Arial" w:eastAsia="仿宋_GB2312"/>
                <w:sz w:val="28"/>
                <w:szCs w:val="28"/>
              </w:rPr>
              <w:t>。重点总结</w:t>
            </w:r>
            <w:r>
              <w:rPr>
                <w:rFonts w:hint="eastAsia" w:hAnsi="Arial"/>
                <w:sz w:val="28"/>
                <w:szCs w:val="28"/>
                <w:lang w:eastAsia="zh-CN"/>
              </w:rPr>
              <w:t>人才培养定位与目标达成情况、师资队伍建设和管理情况、教学资源投入和建设情况、人才培养过程改革、教学质量保障措施和专业优势、特色亮点建设情况</w:t>
            </w:r>
            <w:r>
              <w:rPr>
                <w:rFonts w:ascii="Times New Roman" w:hAnsi="Arial" w:eastAsia="仿宋_GB2312"/>
                <w:sz w:val="28"/>
                <w:szCs w:val="28"/>
              </w:rPr>
              <w:t>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]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12" w:lineRule="auto"/>
              <w:rPr>
                <w:rFonts w:ascii="Times New Roman" w:hAnsi="黑体" w:eastAsia="黑体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numPr>
          <w:ilvl w:val="0"/>
          <w:numId w:val="1"/>
        </w:numPr>
        <w:snapToGrid w:val="0"/>
        <w:spacing w:line="312" w:lineRule="auto"/>
        <w:ind w:left="0" w:leftChars="0" w:firstLine="0" w:firstLineChars="0"/>
        <w:rPr>
          <w:rFonts w:ascii="Times New Roman" w:hAnsi="黑体" w:eastAsia="黑体"/>
          <w:b/>
          <w:bCs/>
          <w:sz w:val="28"/>
          <w:szCs w:val="28"/>
        </w:rPr>
      </w:pPr>
      <w:r>
        <w:rPr>
          <w:rFonts w:ascii="Times New Roman" w:hAnsi="黑体" w:eastAsia="黑体"/>
          <w:b/>
          <w:bCs/>
          <w:sz w:val="28"/>
          <w:szCs w:val="28"/>
        </w:rPr>
        <w:t>阶段性成果与成效</w:t>
      </w:r>
    </w:p>
    <w:tbl>
      <w:tblPr>
        <w:tblStyle w:val="4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8" w:hRule="atLeast"/>
        </w:trPr>
        <w:tc>
          <w:tcPr>
            <w:tcW w:w="8580" w:type="dxa"/>
          </w:tcPr>
          <w:p>
            <w:pPr>
              <w:widowControl/>
              <w:snapToGrid w:val="0"/>
              <w:spacing w:line="312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[</w:t>
            </w:r>
            <w:r>
              <w:rPr>
                <w:rFonts w:ascii="Times New Roman" w:hAnsi="Arial" w:eastAsia="仿宋_GB2312"/>
                <w:sz w:val="28"/>
                <w:szCs w:val="28"/>
              </w:rPr>
              <w:t>重点介绍项目建设以来取得的成果成效，如课堂教学创新，生源质量和毕业生培养质量的提升，教学满意度，在校本科生和毕业生取得的各类创新成果，专业教师各类获奖，课程、教材和实践教学等的获奖，社会对专业的认可度以及专业形成的优势与特色等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]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12" w:lineRule="auto"/>
              <w:rPr>
                <w:rFonts w:ascii="Times New Roman" w:hAnsi="黑体" w:eastAsia="黑体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numPr>
          <w:ilvl w:val="0"/>
          <w:numId w:val="1"/>
        </w:numPr>
        <w:snapToGrid w:val="0"/>
        <w:spacing w:line="312" w:lineRule="auto"/>
        <w:ind w:left="0" w:leftChars="0" w:firstLine="0" w:firstLineChars="0"/>
        <w:rPr>
          <w:rFonts w:ascii="Times New Roman" w:hAnsi="黑体" w:eastAsia="黑体"/>
          <w:b/>
          <w:bCs/>
          <w:sz w:val="28"/>
          <w:szCs w:val="28"/>
        </w:rPr>
      </w:pPr>
      <w:r>
        <w:rPr>
          <w:rFonts w:ascii="Times New Roman" w:hAnsi="黑体" w:eastAsia="黑体"/>
          <w:b/>
          <w:bCs/>
          <w:sz w:val="28"/>
          <w:szCs w:val="28"/>
        </w:rPr>
        <w:t>经费使用情况</w:t>
      </w:r>
    </w:p>
    <w:tbl>
      <w:tblPr>
        <w:tblStyle w:val="4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5" w:hRule="atLeast"/>
        </w:trPr>
        <w:tc>
          <w:tcPr>
            <w:tcW w:w="9080" w:type="dxa"/>
          </w:tcPr>
          <w:p>
            <w:pPr>
              <w:widowControl/>
              <w:snapToGrid w:val="0"/>
              <w:spacing w:line="312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[</w:t>
            </w:r>
            <w:r>
              <w:rPr>
                <w:rFonts w:ascii="Times New Roman" w:hAnsi="Arial" w:eastAsia="仿宋_GB2312"/>
                <w:sz w:val="28"/>
                <w:szCs w:val="28"/>
              </w:rPr>
              <w:t>主要总结立项以来经费投入和使用的具体情况，以及经费使用效益分析。</w:t>
            </w:r>
            <w:r>
              <w:rPr>
                <w:rFonts w:hint="eastAsia" w:hAnsi="Arial"/>
                <w:sz w:val="28"/>
                <w:szCs w:val="28"/>
                <w:lang w:eastAsia="zh-CN"/>
              </w:rPr>
              <w:t>可列表。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]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312" w:lineRule="auto"/>
              <w:rPr>
                <w:rFonts w:ascii="Times New Roman" w:hAnsi="黑体" w:eastAsia="黑体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snapToGrid w:val="0"/>
        <w:spacing w:line="312" w:lineRule="auto"/>
        <w:rPr>
          <w:rFonts w:ascii="Times New Roman" w:hAnsi="Times New Roman" w:eastAsia="黑体"/>
          <w:b/>
          <w:bCs/>
          <w:sz w:val="28"/>
          <w:szCs w:val="28"/>
          <w:vertAlign w:val="baseline"/>
        </w:rPr>
      </w:pPr>
      <w:r>
        <w:rPr>
          <w:rFonts w:ascii="Times New Roman" w:hAnsi="黑体" w:eastAsia="黑体"/>
          <w:b/>
          <w:bCs/>
          <w:sz w:val="28"/>
          <w:szCs w:val="28"/>
        </w:rPr>
        <w:t>五、存在问题分析及下一步建设计划</w:t>
      </w:r>
    </w:p>
    <w:tbl>
      <w:tblPr>
        <w:tblStyle w:val="4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9" w:hRule="atLeast"/>
        </w:trPr>
        <w:tc>
          <w:tcPr>
            <w:tcW w:w="8360" w:type="dxa"/>
          </w:tcPr>
          <w:p>
            <w:pPr>
              <w:widowControl/>
              <w:snapToGrid w:val="0"/>
              <w:spacing w:line="312" w:lineRule="auto"/>
              <w:rPr>
                <w:rFonts w:ascii="Times New Roman" w:hAnsi="Times New Roman" w:eastAsia="黑体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snapToGrid w:val="0"/>
        <w:spacing w:line="312" w:lineRule="auto"/>
        <w:rPr>
          <w:rFonts w:hint="eastAsia" w:ascii="Times New Roman" w:hAnsi="Times New Roman" w:eastAsia="黑体"/>
          <w:b/>
          <w:bCs/>
          <w:sz w:val="28"/>
          <w:szCs w:val="28"/>
          <w:lang w:eastAsia="zh-CN"/>
        </w:rPr>
      </w:pPr>
      <w:r>
        <w:rPr>
          <w:rFonts w:hint="eastAsia" w:eastAsia="黑体"/>
          <w:b/>
          <w:bCs/>
          <w:sz w:val="28"/>
          <w:szCs w:val="28"/>
          <w:lang w:eastAsia="zh-CN"/>
        </w:rPr>
        <w:t>六、二级学院审核意见</w:t>
      </w:r>
    </w:p>
    <w:tbl>
      <w:tblPr>
        <w:tblStyle w:val="4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1" w:hRule="atLeast"/>
        </w:trPr>
        <w:tc>
          <w:tcPr>
            <w:tcW w:w="8660" w:type="dxa"/>
          </w:tcPr>
          <w:p>
            <w:pPr>
              <w:rPr>
                <w:rFonts w:ascii="Times New Roman" w:hAnsi="Times New Roman" w:eastAsia="黑体"/>
                <w:sz w:val="32"/>
                <w:szCs w:val="32"/>
                <w:vertAlign w:val="baseline"/>
              </w:rPr>
            </w:pPr>
          </w:p>
          <w:p>
            <w:pPr>
              <w:rPr>
                <w:rFonts w:ascii="Times New Roman" w:hAnsi="Times New Roman" w:eastAsia="黑体"/>
                <w:sz w:val="32"/>
                <w:szCs w:val="32"/>
                <w:vertAlign w:val="baseline"/>
              </w:rPr>
            </w:pPr>
          </w:p>
          <w:p>
            <w:pPr>
              <w:rPr>
                <w:rFonts w:ascii="Times New Roman" w:hAnsi="Times New Roman" w:eastAsia="黑体"/>
                <w:sz w:val="32"/>
                <w:szCs w:val="32"/>
                <w:vertAlign w:val="baseline"/>
              </w:rPr>
            </w:pPr>
          </w:p>
          <w:p>
            <w:pPr>
              <w:rPr>
                <w:rFonts w:ascii="Times New Roman" w:hAnsi="Times New Roman" w:eastAsia="黑体"/>
                <w:sz w:val="32"/>
                <w:szCs w:val="32"/>
                <w:vertAlign w:val="baseline"/>
              </w:rPr>
            </w:pPr>
          </w:p>
          <w:p>
            <w:pPr>
              <w:rPr>
                <w:rFonts w:ascii="Times New Roman" w:hAnsi="Times New Roman" w:eastAsia="黑体"/>
                <w:sz w:val="32"/>
                <w:szCs w:val="32"/>
                <w:vertAlign w:val="baseline"/>
              </w:rPr>
            </w:pPr>
          </w:p>
          <w:p>
            <w:pPr>
              <w:rPr>
                <w:rFonts w:ascii="Times New Roman" w:hAnsi="Times New Roman" w:eastAsia="黑体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二级学院（盖章）：</w:t>
            </w:r>
          </w:p>
          <w:p>
            <w:pPr>
              <w:jc w:val="center"/>
              <w:rPr>
                <w:rFonts w:hint="eastAsia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numPr>
          <w:ilvl w:val="0"/>
          <w:numId w:val="2"/>
        </w:numPr>
        <w:rPr>
          <w:rFonts w:hint="eastAsia" w:eastAsia="黑体"/>
          <w:b/>
          <w:bCs/>
          <w:sz w:val="28"/>
          <w:szCs w:val="28"/>
          <w:lang w:eastAsia="zh-CN"/>
        </w:rPr>
      </w:pPr>
      <w:r>
        <w:rPr>
          <w:rFonts w:hint="eastAsia" w:eastAsia="黑体"/>
          <w:b/>
          <w:bCs/>
          <w:sz w:val="28"/>
          <w:szCs w:val="28"/>
          <w:lang w:eastAsia="zh-CN"/>
        </w:rPr>
        <w:t>学院审核意见</w:t>
      </w:r>
    </w:p>
    <w:tbl>
      <w:tblPr>
        <w:tblStyle w:val="4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9" w:hRule="atLeast"/>
        </w:trPr>
        <w:tc>
          <w:tcPr>
            <w:tcW w:w="8655" w:type="dxa"/>
          </w:tcPr>
          <w:p>
            <w:pPr>
              <w:numPr>
                <w:ilvl w:val="0"/>
                <w:numId w:val="0"/>
              </w:numPr>
              <w:rPr>
                <w:rFonts w:hint="eastAsia" w:eastAsia="黑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eastAsia="黑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eastAsia="黑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eastAsia="黑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eastAsia="黑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eastAsia="黑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eastAsia="黑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eastAsia="黑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学院（盖章）：</w:t>
            </w:r>
          </w:p>
          <w:p>
            <w:pPr>
              <w:numPr>
                <w:ilvl w:val="0"/>
                <w:numId w:val="0"/>
              </w:numPr>
              <w:rPr>
                <w:rFonts w:hint="eastAsia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7CFA"/>
    <w:multiLevelType w:val="singleLevel"/>
    <w:tmpl w:val="20537C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43BB0"/>
    <w:multiLevelType w:val="singleLevel"/>
    <w:tmpl w:val="7CE43BB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075ED"/>
    <w:rsid w:val="105A388D"/>
    <w:rsid w:val="10833446"/>
    <w:rsid w:val="14E976AA"/>
    <w:rsid w:val="1EFC1EC0"/>
    <w:rsid w:val="245707A2"/>
    <w:rsid w:val="2C645A76"/>
    <w:rsid w:val="310E1203"/>
    <w:rsid w:val="3294370A"/>
    <w:rsid w:val="3C854F99"/>
    <w:rsid w:val="51704E1B"/>
    <w:rsid w:val="558075ED"/>
    <w:rsid w:val="585765A9"/>
    <w:rsid w:val="5B6413A5"/>
    <w:rsid w:val="6D535020"/>
    <w:rsid w:val="6DC62DA0"/>
    <w:rsid w:val="7F54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华文楷体"/>
      <w:sz w:val="2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2018-12-04T03:02:00Z</dcterms:created>
  <dc:creator>pomereo</dc:creator>
  <cp:lastModifiedBy>pomereo</cp:lastModifiedBy>
  <dcterms:modified xsi:type="dcterms:W3CDTF">2019-12-23T00:44:35Z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