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华文中宋" w:eastAsia="方正小标宋简体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教学节段目录（范例）</w:t>
      </w:r>
    </w:p>
    <w:p>
      <w:pPr>
        <w:jc w:val="center"/>
        <w:rPr>
          <w:rFonts w:ascii="华文中宋" w:hAnsi="华文中宋" w:eastAsia="华文中宋"/>
          <w:bCs/>
          <w:color w:val="000000"/>
          <w:kern w:val="0"/>
          <w:sz w:val="36"/>
          <w:szCs w:val="36"/>
        </w:rPr>
      </w:pPr>
    </w:p>
    <w:p>
      <w:pPr>
        <w:spacing w:line="560" w:lineRule="exact"/>
        <w:ind w:firstLine="56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《遗传学》教学大纲基本教学内容包含 13 章，此次教学设计的 8 个节段分别选自第 1、3、4、5、7等 5 章。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 xml:space="preserve">1.  性取向的遗传分析 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选自第一章：遗传与变异/第三节：遗传学的研究策略与方法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 xml:space="preserve">2.  人类进化的遗传分析 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选自第一章：遗传与变异/第四节：身边的遗传学案例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 xml:space="preserve">3.  复等位基因 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选自第三章：孟德尔遗传的拓展/第二节：复等位基因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 xml:space="preserve">4.  线粒体遗传   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选自第三章：孟德尔遗传的拓展 / 第六节：核外遗传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 xml:space="preserve">5.  “三位一体”的基因概念 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选自第四章：基因概念的发展/第一节：基因概念的产生与早期发展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 xml:space="preserve">6.  基因可跳跃 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选自第四章：基因概念的发展/第二节：基因概念在分子水平的发展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 xml:space="preserve">7.  基因诊断 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选自第五章：连锁与交换/第三节：分子遗传标记与基因诊断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 xml:space="preserve">8.  染色体倒位 </w:t>
      </w:r>
    </w:p>
    <w:p>
      <w:pPr>
        <w:spacing w:line="56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选自第七章：染色体畸变/第二节：染色体结构变异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7C1"/>
    <w:rsid w:val="002C7C6B"/>
    <w:rsid w:val="004977C1"/>
    <w:rsid w:val="006024E7"/>
    <w:rsid w:val="00A910A6"/>
    <w:rsid w:val="00F903AC"/>
    <w:rsid w:val="19C6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2</TotalTime>
  <ScaleCrop>false</ScaleCrop>
  <LinksUpToDate>false</LinksUpToDate>
  <CharactersWithSpaces>393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2019-03-22T02:12:00Z</dcterms:created>
  <dc:creator>zjgydxoa/zjgydx</dc:creator>
  <cp:lastModifiedBy>pomereo</cp:lastModifiedBy>
  <dcterms:modified xsi:type="dcterms:W3CDTF">2019-04-24T02:49:51Z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